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9B54">
      <w:pPr>
        <w:pStyle w:val="15"/>
        <w:jc w:val="center"/>
        <w:rPr>
          <w:rFonts w:hint="eastAsia" w:ascii="Times New Roman" w:hAnsi="Times New Roman" w:eastAsia="方正小标宋简体" w:cs="Times New Roman"/>
          <w:b w:val="0"/>
          <w:color w:val="000000"/>
          <w:sz w:val="44"/>
        </w:rPr>
      </w:pPr>
      <w:r>
        <w:rPr>
          <w:rFonts w:hint="eastAsia" w:ascii="Times New Roman" w:hAnsi="Times New Roman" w:eastAsia="方正小标宋简体" w:cs="Times New Roman"/>
          <w:b w:val="0"/>
          <w:color w:val="000000"/>
          <w:sz w:val="44"/>
        </w:rPr>
        <w:t>高新区</w:t>
      </w:r>
      <w:r>
        <w:rPr>
          <w:rFonts w:hint="eastAsia" w:ascii="Times New Roman" w:hAnsi="Times New Roman" w:eastAsia="方正小标宋简体" w:cs="Times New Roman"/>
          <w:b w:val="0"/>
          <w:color w:val="000000"/>
          <w:sz w:val="44"/>
          <w:lang w:eastAsia="zh-CN"/>
        </w:rPr>
        <w:t>财政金融</w:t>
      </w:r>
      <w:r>
        <w:rPr>
          <w:rFonts w:hint="eastAsia" w:ascii="Times New Roman" w:hAnsi="Times New Roman" w:eastAsia="方正小标宋简体" w:cs="Times New Roman"/>
          <w:b w:val="0"/>
          <w:color w:val="000000"/>
          <w:sz w:val="44"/>
        </w:rPr>
        <w:t>局</w:t>
      </w:r>
    </w:p>
    <w:p w14:paraId="2240E449">
      <w:pPr>
        <w:pStyle w:val="15"/>
        <w:pBdr>
          <w:bottom w:val="none" w:color="auto" w:sz="0" w:space="0"/>
        </w:pBdr>
        <w:jc w:val="center"/>
        <w:rPr>
          <w:rFonts w:ascii="Times New Roman" w:hAnsi="Times New Roman" w:eastAsia="方正小标宋简体" w:cs="Times New Roman"/>
          <w:b w:val="0"/>
          <w:color w:val="000000"/>
          <w:sz w:val="44"/>
        </w:rPr>
      </w:pPr>
      <w:r>
        <w:rPr>
          <w:rFonts w:hint="eastAsia" w:ascii="Times New Roman" w:hAnsi="Times New Roman" w:eastAsia="方正小标宋简体" w:cs="Times New Roman"/>
          <w:b w:val="0"/>
          <w:color w:val="000000"/>
          <w:sz w:val="44"/>
        </w:rPr>
        <w:t>关于</w:t>
      </w:r>
      <w:r>
        <w:rPr>
          <w:rFonts w:ascii="方正小标宋简体" w:hAnsi="方正小标宋简体" w:eastAsia="方正小标宋简体" w:cs="方正小标宋简体"/>
          <w:b w:val="0"/>
          <w:i w:val="0"/>
          <w:strike w:val="0"/>
          <w:color w:val="000000"/>
          <w:spacing w:val="0"/>
          <w:sz w:val="44"/>
          <w:u w:val="none"/>
        </w:rPr>
        <w:t>2026年咸宁高新区预算编制情况汇报</w:t>
      </w:r>
    </w:p>
    <w:p w14:paraId="49B89D76">
      <w:pPr>
        <w:spacing w:before="0" w:after="0" w:line="560" w:lineRule="exact"/>
        <w:ind w:firstLineChars="200"/>
        <w:rPr>
          <w:rFonts w:ascii="Times New Roman" w:hAnsi="Times New Roman" w:eastAsia="仿宋_GB2312" w:cs="Times New Roman"/>
          <w:color w:val="000000"/>
          <w:sz w:val="32"/>
        </w:rPr>
      </w:pPr>
    </w:p>
    <w:p w14:paraId="70E4B64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根据《中华人民共和国预算法》《中华人民共和国预算法实施条例》《国务院关于进一步深化预算管理制度改革的意见》（国发〔2021〕5号）以及《省人民政府关于进一步深化预算管理制度改革的实施意见》（鄂政发〔2022〕8号）等文件规定，按照省、市相关政策要求，现就高新区2026年预算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编制情况说明如下：</w:t>
      </w:r>
    </w:p>
    <w:p w14:paraId="6ABD0A74">
      <w:pP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黑体" w:cs="Times New Roman"/>
          <w:i w:val="0"/>
          <w:strike w:val="0"/>
          <w:color w:val="000000"/>
          <w:sz w:val="32"/>
          <w:u w:val="none"/>
        </w:rPr>
        <w:t>一、</w:t>
      </w:r>
      <w:r>
        <w:rPr>
          <w:rFonts w:hint="eastAsia" w:ascii="Times New Roman" w:hAnsi="Times New Roman" w:eastAsia="黑体" w:cs="Times New Roman"/>
          <w:i w:val="0"/>
          <w:strike w:val="0"/>
          <w:color w:val="000000"/>
          <w:sz w:val="32"/>
          <w:u w:val="none"/>
        </w:rPr>
        <w:t>2026年预算编制重点</w:t>
      </w:r>
    </w:p>
    <w:p w14:paraId="41818A01">
      <w:pP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以习近平新时代中国特色社会主义思想为指导，全面贯彻落实中央、省、市决策部署，深入领会贯彻落实中央八项规定及其实施细则精神，坚持党政机关习惯过紧日子，勤俭节约办事业；以零基预算为牵引，深化大财政体系建设（财政科学管理），支持加快打造武汉都市圈绿色发展重要增长极；加强财政资源和预算统筹，持续优化支出结构，全面增强财政保障能力；完善支出标准体系，加强项目全生命周期管理，强化预算绩效管理，加强财会监督检查，提升部门预算管理系统化、精细化、标准化、法治化水平。</w:t>
      </w:r>
    </w:p>
    <w:p w14:paraId="68A92C84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（一）</w:t>
      </w:r>
      <w:r>
        <w:rPr>
          <w:rFonts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立足“应统尽统”，以全口径统筹夯实财政运行根基</w:t>
      </w:r>
      <w:r>
        <w:rPr>
          <w:rFonts w:hint="eastAsia"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一是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强化收入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统筹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聚财力。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将各类财政收入全部纳入“一个盘子”管理。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2025年底财金局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财务结算中心账务进行清理，将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部门结余资金一律收回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，由于2025年底高投集团运转困难，部门结余资金已由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财政统筹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用于支持高投集团相关支出。2026年初各单位在财务账上均无结余。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二是强化内控制度紧约束。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000000"/>
          <w:sz w:val="32"/>
          <w:u w:val="none"/>
        </w:rPr>
        <w:t>2025年财金局出台了系列内控制度，强化制度建设。2026年财金局加强与财务结算中心对接，严禁提前报账的情况，倒逼部门找财金局请款。同时要求财务严格按照部门预算草案中的项目进行支出，单位报销情况与部门预算项目一一对应，严禁列支与预算不相符的项目，做好全流程内控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三是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强化支出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统筹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保重点。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2026年预算编制过程中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改变以往“各自为政”的支出模式，要求部门新增支出优先通过调整现有结构解决，大力推动跨部门、跨科目项目整合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如财金局、科创局在科技专项资金上进行跨部门项目合并、科技活动支出统一合并至双创基地专项经费等。在项目安排上，鼓励各部门根据项目内容、职能等整合同类项目，如综合局申报52个特定目标类项目，经审核，按照社会事务、文书、应急等职能统筹为28个项目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。</w:t>
      </w:r>
    </w:p>
    <w:p w14:paraId="2626FE27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楷体" w:cs="Times New Roman"/>
          <w:b w:val="0"/>
          <w:i w:val="0"/>
          <w:strike w:val="0"/>
          <w:color w:val="000000"/>
          <w:sz w:val="32"/>
          <w:u w:val="none"/>
        </w:rPr>
        <w:t>（二）</w:t>
      </w:r>
      <w:r>
        <w:rPr>
          <w:rFonts w:ascii="Times New Roman" w:hAnsi="Times New Roman" w:eastAsia="楷体" w:cs="Times New Roman"/>
          <w:b w:val="0"/>
          <w:i w:val="0"/>
          <w:strike w:val="0"/>
          <w:color w:val="000000"/>
          <w:sz w:val="32"/>
          <w:u w:val="none"/>
        </w:rPr>
        <w:t>坚持“先破后立”，以零基预算重塑支出格局</w:t>
      </w:r>
      <w:r>
        <w:rPr>
          <w:rFonts w:hint="eastAsia" w:ascii="Times New Roman" w:hAnsi="Times New Roman" w:eastAsia="楷体" w:cs="Times New Roman"/>
          <w:b w:val="0"/>
          <w:i w:val="0"/>
          <w:strike w:val="0"/>
          <w:color w:val="000000"/>
          <w:sz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一是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全面清理退出“低效无效”支出。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000000"/>
          <w:sz w:val="32"/>
          <w:u w:val="none"/>
        </w:rPr>
        <w:t>预算部人员对预算项目全面审核，逐个与项目负责人对接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000000"/>
          <w:sz w:val="32"/>
          <w:u w:val="none"/>
        </w:rPr>
        <w:t>确保项目应审尽审。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对执行到期、交叉重复、低效无效项目坚决予以退出，对超出财政承受能力政策进行优化调整，推动财政资金从“撒胡椒面”向“精准投放”转变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。2026年共审核预算项目191个，统筹24项，退出13项，退出金额1070万元。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二是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强化排序突出“重点保障”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000000"/>
          <w:sz w:val="32"/>
          <w:u w:val="none"/>
        </w:rPr>
        <w:t>在优先保障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“三保”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支出的前提下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、一是支持企业发展等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一系列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惠企项目优先纳入预算；二是上级有政策规定的、管委会党工委有会议纪要的专项，在优先保障“三保”及企业发展的前提下，视财力情况进行安排。三是各预算单位申报项目需结合财力状况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，在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确保财政收支平衡的前提下，根据项目性质及轻重缓急予以直接安排或安排部分专项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确保有限财力优先用在“刀刃”上。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2026年全年预算资金7亿元，其中三保支出4870万元、惠企支出47229万元、（含补助高投、招商公司合作资金等）、管委会特定目标类项目支出17901万元（含双创基地建设、招商公司运营等）。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三是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细化审核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压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实“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过紧日子</w:t>
      </w:r>
      <w:r>
        <w:rPr>
          <w:rFonts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”</w:t>
      </w:r>
      <w:r>
        <w:rPr>
          <w:rFonts w:hint="eastAsia" w:ascii="Times New Roman" w:hAnsi="Times New Roman" w:eastAsia="仿宋_GB2312" w:cs="Times New Roman"/>
          <w:b/>
          <w:i w:val="0"/>
          <w:strike w:val="0"/>
          <w:color w:val="000000"/>
          <w:sz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000000"/>
          <w:sz w:val="32"/>
          <w:u w:val="none"/>
        </w:rPr>
        <w:t>严格审核各项目的资金测算明细。其中人员类支出按工资测算，应保尽保。运转类支出以财务三年支出平均数为标准，在新增了2批员额制的前提下，确保一般性支出无新增。2026年运转类项目增长主要为因公出国费用（已获批），新增公车购置费及新增员额制工会经费。特定目标类项目有协议的以协议为标准，无协议的严格审核，践行“过紧日子”从严压减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对一般事业发展支出、节庆论坛活动等实行“只减不增”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退出大型开工仪式项目、网格活动经费、创新创业大赛等项目，从严压减文体活动经费。2026年综合局特定目标项目由申报数1950万元，审减至1350万元，审减率达44%。从严审核市直派出机构支出。税务局经费在往年600万的情况下调整结构，支持力度与其工作完成及考核情况挂钩；自规、司法、公安、环保等除上级文件明确的项目外，一律无增长，同时与市财政对接，确保市直派出机构的经费保障上无重复。</w:t>
      </w:r>
    </w:p>
    <w:p w14:paraId="41B943E4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（三）加强全方位沟通</w:t>
      </w:r>
      <w:r>
        <w:rPr>
          <w:rFonts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，</w:t>
      </w:r>
      <w:r>
        <w:rPr>
          <w:rFonts w:hint="eastAsia" w:ascii="Times New Roman" w:hAnsi="Times New Roman" w:eastAsia="楷体" w:cs="Times New Roman"/>
          <w:i w:val="0"/>
          <w:strike w:val="0"/>
          <w:color w:val="000000"/>
          <w:sz w:val="32"/>
          <w:u w:val="none"/>
        </w:rPr>
        <w:t>提升预算编制水平。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2026年高新区一般公共预算盘子为7.5亿元，因上年度为支持高投集团增加支出额度5000万元，需在2026年度进行扣减。扣减后实际高新区一般公财支出仅为7亿元，难以全面覆盖管委会各项支出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，预算核减难度大。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为进一步提高20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26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年部门预算编制的合理性，在满足单位支出需求的同时，更有效的发挥财政可用资金绩效，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高新区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财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金局摒弃“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重下达、轻沟通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”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的作法，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在预算审核工作中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开展全方位的沟通工作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听取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各部门对预算审核的意见，并将审核结果反馈至各单位，反复磋商几轮，各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部门理解了在目前财政收支困难的形势下必须要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“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过紧日子”的要求，财政只能“量力而行、尽力而为”、“保运行、保稳定”。对一些建议和要求，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财金局适当进行了调整，最终形成在有限资金7个亿的范围内最大程度满足刚性惠企政策及各部门需要的预算草案，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平衡收支需求。</w:t>
      </w:r>
    </w:p>
    <w:p w14:paraId="6CE9E37F">
      <w:pPr>
        <w:pBdr>
          <w:bottom w:val="none" w:color="auto" w:sz="0" w:space="0"/>
        </w:pBdr>
        <w:snapToGrid/>
        <w:spacing w:line="560" w:lineRule="exact"/>
        <w:ind w:firstLine="640" w:firstLineChars="200"/>
        <w:jc w:val="both"/>
        <w:rPr>
          <w:color w:val="000000"/>
        </w:rPr>
      </w:pPr>
      <w:r>
        <w:rPr>
          <w:rFonts w:hint="eastAsia" w:ascii="Times New Roman" w:hAnsi="Times New Roman" w:eastAsia="楷体" w:cs="Times New Roman"/>
          <w:b w:val="0"/>
          <w:i w:val="0"/>
          <w:strike w:val="0"/>
          <w:color w:val="000000"/>
          <w:sz w:val="32"/>
          <w:u w:val="none"/>
        </w:rPr>
        <w:t>（四）</w:t>
      </w:r>
      <w:r>
        <w:rPr>
          <w:rFonts w:ascii="楷体_GB2312" w:hAnsi="楷体_GB2312" w:eastAsia="楷体_GB2312" w:cs="楷体_GB2312"/>
          <w:b w:val="0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确保进度，依规预算调整。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坚持“以收定支，无预算不支出”原则。各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严格执行预算，按进度和工作需要申报、使用项目经费。上半年原则上不新增项目预算，如根据实际工作需要，确需新增项目预算的，从</w:t>
      </w:r>
      <w:r>
        <w:rPr>
          <w:rFonts w:ascii="Times New Roman" w:hAnsi="Times New Roman" w:cs="Times New Roman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7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月份开始，各办（部、局）依据批复，向管委会提出申请，统一交财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金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局汇总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。初步测算，年初7个亿支出规模难以满足各部门实际需要，财金局将根据情况于年中向市财政争取扩大全年支出规模，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-6"/>
          <w:sz w:val="32"/>
          <w:u w:val="none"/>
          <w:shd w:val="clear" w:color="auto" w:fill="FFFFFF"/>
        </w:rPr>
        <w:t>提出下半年预算调整方案，并提交常务会、党工委会报批。同时，按程序向市人大、市财政局报告。</w:t>
      </w:r>
    </w:p>
    <w:p w14:paraId="4D5EC217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黑体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黑体" w:cs="Times New Roman"/>
          <w:i w:val="0"/>
          <w:strike w:val="0"/>
          <w:color w:val="000000"/>
          <w:sz w:val="32"/>
          <w:u w:val="none"/>
        </w:rPr>
        <w:t>二、一般公共预算情况（草案）</w:t>
      </w:r>
    </w:p>
    <w:p w14:paraId="10594B81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（一）一般公共预算收入情况：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2026年一般公共预算收入预计完成24.13亿元，可比增长5%，同比增长9.2%。其中税收收入20.86亿元，可比增长9.5%，同比增长14.8%；非税收入3.27亿元。税收占比86.5%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。</w:t>
      </w:r>
    </w:p>
    <w:p w14:paraId="2D3156F7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（二）一般公共预算支出情况：根据部门预算审核汇总情况，共收到各预算单位申报经费107,079万元,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累计收到191个特定目标类项目申报，根据与各项目负责人一一沟通，取消特定目标类项目项目13个。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结合市财政局对2026年高新区预算的批复规模，拟安排一般公共预算支出75,000万元，实际可用70,000万元。具体支出安排情况如下：</w:t>
      </w:r>
    </w:p>
    <w:p w14:paraId="572716DC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1.高新区人员类支出3,814万元。占支出总预算的5%。其中：</w:t>
      </w:r>
    </w:p>
    <w:p w14:paraId="0B300648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——管委会机关基本支出2,136万元，员额制人员支出544万元；</w:t>
      </w:r>
    </w:p>
    <w:p w14:paraId="7ABDCA0E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——咸嘉临港基本支出291万元；</w:t>
      </w:r>
    </w:p>
    <w:p w14:paraId="3D70819B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——凤凰工业园基本支出736万元，员额制人员支出108万元；</w:t>
      </w:r>
    </w:p>
    <w:p w14:paraId="36FD72B5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2.高新区运转类支出1056万元，占支出预算的1.4%。其中：</w:t>
      </w:r>
    </w:p>
    <w:p w14:paraId="6AC27CCF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工会福利费110万元，日常公用经费190万元、办公场所运维费527万元、信息维护费45万元、公车购置25万元、公车运维40万元、差旅费22万元、因公出国90万元（上级已批复出国招商，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三个团按每个团6人计算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），公务接待7万元。</w:t>
      </w:r>
    </w:p>
    <w:p w14:paraId="1942F7C3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3.高新区本级特定目标类经费18,485万元，占支出预算的24.6%，比上年减少936万元，具体如下：</w:t>
      </w:r>
    </w:p>
    <w:p w14:paraId="6F2FDB18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（1）综合局特定目标类项目1,350万元，比上年减少187万元，同比下降12.2%；</w:t>
      </w:r>
    </w:p>
    <w:p w14:paraId="22E285CF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（2）科创局特定目标类项目941万元，比上年增加237万元，同比增加33.7%，主要为新增零碳园区申报创建、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央视拍摄咸宁高新区央视纪录片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等刚性支出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；</w:t>
      </w:r>
    </w:p>
    <w:p w14:paraId="16E061AD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（3）招商（公司）特定目标类项目350万元，比上年减少350万元，同比下降50%；主要为将招商经费分列至园办。</w:t>
      </w:r>
    </w:p>
    <w:p w14:paraId="168C08B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（4）财金局特定目标类项目490万元，比上年增加60万元，同比增加14%，主要为项目审计专项增加60万元；</w:t>
      </w:r>
    </w:p>
    <w:p w14:paraId="6F4E8F9F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（5）营建局特定目标类项目3924万元，比上年减少491万元，同比下降11.1%；</w:t>
      </w:r>
    </w:p>
    <w:p w14:paraId="443AA231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（6）纪检工委办特定目标类项目28万元，比上年减少12万元，同比下降30%；</w:t>
      </w:r>
    </w:p>
    <w:p w14:paraId="32E8257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（7）咸嘉临港特定目标类项目全部退出；</w:t>
      </w:r>
    </w:p>
    <w:p w14:paraId="40346926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（8）凤凰工业园特定目标类项目11,278万元，比上年减少133万元，同比下降1.2%；</w:t>
      </w:r>
    </w:p>
    <w:p w14:paraId="00A892E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（9）应急事务部特定目标类项目124万元，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比上年增加40万元，同比上升47.6%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，主要为新增应急救援物资采购、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高新区应急预案修订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等项目。</w:t>
      </w:r>
    </w:p>
    <w:p w14:paraId="79D57BB7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4.市直派出机构特定目标类项目2643万元，占支出预算的3.5%，比上年减少56万元。</w:t>
      </w:r>
    </w:p>
    <w:p w14:paraId="29523477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5.高新区管委会专项49,002万元，占支出预算的65.3%，比上年增加6,617万元，同比增长15.6万元，具体如下：</w:t>
      </w:r>
    </w:p>
    <w:p w14:paraId="213D043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（1）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智能制造园办招商引资经费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150万元；</w:t>
      </w:r>
    </w:p>
    <w:p w14:paraId="463321D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（2）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大健康与食品饮料园办招商引资业务费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150万元；</w:t>
      </w:r>
    </w:p>
    <w:p w14:paraId="285D3C5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z w:val="32"/>
          <w:u w:val="none"/>
        </w:rPr>
        <w:t>（3）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新材料园办招商引资经费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150万元；</w:t>
      </w:r>
    </w:p>
    <w:p w14:paraId="6AFC7E31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（4）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人才服务中心运营经费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2275万元，主要为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与高校科研团队合作共建费用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、离岸科创园3-5楼、科创中心相关费用；</w:t>
      </w:r>
    </w:p>
    <w:p w14:paraId="278A82D8">
      <w:pP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（5）国有资产管理经费159万元，为收购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红宝丽、原盐业公司、原嘉洪电动车、原喜玛拉雅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等闲置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资产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，产生的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房产税、土地使用税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等；</w:t>
      </w:r>
    </w:p>
    <w:p w14:paraId="06E6D53E">
      <w:pP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（6）金融服务经费12万，2026年新增项目，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包括“园区联合贷”业务合作协议、金融银企对接活动经费等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；</w:t>
      </w:r>
    </w:p>
    <w:p w14:paraId="6DD40BE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（7）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科技专项经费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16845万元，主要为科创口、经信口、对外开放、拨改投、老合同兑现等惠企支出；</w:t>
      </w:r>
    </w:p>
    <w:p w14:paraId="595B1F4F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（8）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支持园区企业发展支出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2384万元，主要为兑现2025年产业倍增支出；</w:t>
      </w:r>
    </w:p>
    <w:p w14:paraId="11EC040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（9）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咸宁海关工作经费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105万元，与上年持平；</w:t>
      </w:r>
    </w:p>
    <w:p w14:paraId="7A54C96D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（10）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扶持国有投融资平台专项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6000万元，与上年持平；</w:t>
      </w:r>
    </w:p>
    <w:p w14:paraId="582D69AA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（11）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地方政府三天天然气应急调峰储气租赁服务费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120万元，比上年增加19万元；</w:t>
      </w:r>
    </w:p>
    <w:p w14:paraId="247A179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（12）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化解预拨经费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5000万元；</w:t>
      </w:r>
    </w:p>
    <w:p w14:paraId="6B45237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（13）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服务园区专项支出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120万元，主要为公检中心、残联服务园区企业经费；</w:t>
      </w:r>
    </w:p>
    <w:p w14:paraId="3DA9ADAD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（14）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预留高新区优化机构编制改革过渡期经费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250万元，2026年新增项目，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该经费作为高新区后续招引员额制人员支出、已招录人员安家补贴</w:t>
      </w:r>
      <w:bookmarkStart w:id="0" w:name="_GoBack"/>
      <w:bookmarkEnd w:id="0"/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以及开展相关工作支出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；</w:t>
      </w:r>
    </w:p>
    <w:p w14:paraId="48CF8D60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（15）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企业高管周转公寓（人才公寓租赁费用）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37万元；</w:t>
      </w:r>
    </w:p>
    <w:p w14:paraId="65FEA407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（16）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残保金项目专项经费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20万元；</w:t>
      </w:r>
    </w:p>
    <w:p w14:paraId="24C39FD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（17）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大学生引进计划政策兑现专项经费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150万元；</w:t>
      </w:r>
    </w:p>
    <w:p w14:paraId="7FACCAEF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（18）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人才政策兑现专项资金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50万元；</w:t>
      </w:r>
    </w:p>
    <w:p w14:paraId="4DA30CCA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（19）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乡村振兴专项经费(咸宁高新区）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70万元；</w:t>
      </w:r>
    </w:p>
    <w:p w14:paraId="5221FA36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（20）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招商公司日常运营经费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2000万元；</w:t>
      </w:r>
    </w:p>
    <w:p w14:paraId="1E98903E">
      <w:pPr>
        <w:snapToGrid/>
        <w:spacing w:before="0" w:after="0" w:line="560" w:lineRule="exact"/>
        <w:ind w:leftChars="0" w:firstLine="640" w:firstLineChars="200"/>
        <w:jc w:val="both"/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（21）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招商公司产业合作资金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12000万元，2026年新增项目，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用于政策兑现的合作资金，2025年招引的近200个项目及2026年新招引项目的兑现，包含与基金公司合作设立基金部分出资、高新区高质量发展重大项目支持资金等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；</w:t>
      </w:r>
    </w:p>
    <w:p w14:paraId="7529A65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（22）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咸宁高新区重点产业创新发展园区专项资金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1005万元，2026年新增项目，为上级专项资金。</w:t>
      </w:r>
    </w:p>
    <w:p w14:paraId="1CCFB29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  <w:t>三、政府性基金预算（草案）</w:t>
      </w:r>
    </w:p>
    <w:p w14:paraId="57BCDF0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（一）收入：2026年高新区当年预计完成85,989万元政府性基金收入，其中：国有土地出让80,112万元，专项债券利息收入5,574万元，上级结余结转收入303万元。</w:t>
      </w:r>
    </w:p>
    <w:p w14:paraId="4B251E1C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（二）支出：2026年高新区当年预计支出85,989万元，其中：</w:t>
      </w:r>
    </w:p>
    <w:p w14:paraId="5A66407B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市城发集团置换咸宁高新区工业园地块土地成本及收益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12,758万元（已拨）；</w:t>
      </w:r>
    </w:p>
    <w:p w14:paraId="244E4B9A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2.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官埠桥镇机电制造园一期土地收入金收益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580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万元；</w:t>
      </w:r>
    </w:p>
    <w:p w14:paraId="5485DDA8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3.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征地拆迁补偿及国土前期专项资金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5,000万元；</w:t>
      </w:r>
    </w:p>
    <w:p w14:paraId="44097151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4.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政府投资项目建设工程款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39,534万元；</w:t>
      </w:r>
    </w:p>
    <w:p w14:paraId="7E177837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盘活闲置用地专项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12,420万元；</w:t>
      </w:r>
    </w:p>
    <w:p w14:paraId="72D2DB08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6.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化解预拨经费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5,000万元；</w:t>
      </w:r>
    </w:p>
    <w:p w14:paraId="3EF4E160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7.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企业奖励专项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5,000万元；</w:t>
      </w:r>
    </w:p>
    <w:p w14:paraId="5D0369E6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8.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专项债付息及发行费支出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5,574万元；</w:t>
      </w:r>
    </w:p>
    <w:p w14:paraId="3020E197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9.</w:t>
      </w:r>
      <w:r>
        <w:rPr>
          <w:rFonts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结转下年支出</w:t>
      </w: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303万元。</w:t>
      </w:r>
    </w:p>
    <w:p w14:paraId="03385D82">
      <w:pPr>
        <w:pBdr>
          <w:bottom w:val="none" w:color="auto" w:sz="0" w:space="0"/>
        </w:pBd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  <w:t>以上3、4项由高新区拨至高投集团代付，目前已拨付高投21655万元。</w:t>
      </w:r>
    </w:p>
    <w:p w14:paraId="1DB0B8A9">
      <w:pPr>
        <w:snapToGrid/>
        <w:spacing w:before="0" w:after="0" w:line="560" w:lineRule="exact"/>
        <w:ind w:leftChars="0" w:firstLine="640" w:firstLineChars="200"/>
        <w:jc w:val="both"/>
        <w:rPr>
          <w:rFonts w:hint="eastAsia" w:ascii="Times New Roman" w:hAnsi="Times New Roman" w:eastAsia="仿宋_GB2312" w:cs="Times New Roman"/>
          <w:i w:val="0"/>
          <w:strike w:val="0"/>
          <w:color w:val="000000"/>
          <w:spacing w:val="0"/>
          <w:sz w:val="32"/>
          <w:u w:val="none"/>
        </w:rPr>
      </w:pPr>
    </w:p>
    <w:p w14:paraId="6478C95E">
      <w:pPr>
        <w:rPr>
          <w:rFonts w:ascii="Times New Roman" w:hAnsi="Times New Roman" w:cs="Times New Roman"/>
          <w:color w:val="000000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797" w:right="1440" w:bottom="1797" w:left="1440" w:header="851" w:footer="992" w:gutter="0"/>
      <w:pgNumType w:fmt="decimal" w:start="5" w:chapStyle="1" w:chapSep="hyphen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975480"/>
      <w:docPartObj>
        <w:docPartGallery w:val="autotext"/>
      </w:docPartObj>
    </w:sdtPr>
    <w:sdtContent>
      <w:p w14:paraId="5A114803">
        <w:pPr>
          <w:framePr w:wrap="auto" w:vAnchor="text" w:hAnchor="margin" w:xAlign="inside" w:y="1"/>
        </w:pPr>
        <w:r>
          <w:rPr>
            <w:rFonts w:hint="eastAsia" w:ascii="Times New Roman" w:hAnsi="Times New Roman" w:cs="Times New Roman"/>
            <w:sz w:val="24"/>
          </w:rPr>
          <w:t>—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>—</w:t>
        </w:r>
      </w:p>
    </w:sdtContent>
  </w:sdt>
  <w:p w14:paraId="2991D666">
    <w:pPr>
      <w:framePr w:wrap="auto" w:vAnchor="text" w:hAnchor="margin" w:xAlign="inside" w:y="1"/>
    </w:pPr>
  </w:p>
  <w:p w14:paraId="7E29EF4D">
    <w:pPr>
      <w:pStyle w:val="12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266875"/>
      <w:docPartObj>
        <w:docPartGallery w:val="autotext"/>
      </w:docPartObj>
    </w:sdtPr>
    <w:sdtContent>
      <w:p w14:paraId="4FE5FBE2">
        <w:pPr>
          <w:framePr w:wrap="auto" w:vAnchor="text" w:hAnchor="margin" w:xAlign="inside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sdt>
    <w:sdtPr>
      <w:id w:val="966937985"/>
      <w:docPartObj>
        <w:docPartGallery w:val="autotext"/>
      </w:docPartObj>
    </w:sdtPr>
    <w:sdtContent>
      <w:p w14:paraId="6A2CBB40">
        <w:pPr>
          <w:framePr w:wrap="auto" w:vAnchor="text" w:hAnchor="margin" w:xAlign="inside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sdt>
    <w:sdtPr>
      <w:id w:val="636148973"/>
      <w:docPartObj>
        <w:docPartGallery w:val="autotext"/>
      </w:docPartObj>
    </w:sdtPr>
    <w:sdtContent>
      <w:p w14:paraId="4A9B41FB">
        <w:pPr>
          <w:framePr w:wrap="auto" w:vAnchor="text" w:hAnchor="margin" w:xAlign="center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594BFA2">
    <w:pPr>
      <w:pStyle w:val="12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2548582"/>
      <w:docPartObj>
        <w:docPartGallery w:val="autotext"/>
      </w:docPartObj>
    </w:sdtPr>
    <w:sdtContent>
      <w:p w14:paraId="3ED1EA72">
        <w:pPr>
          <w:framePr w:wrap="auto" w:vAnchor="text" w:hAnchor="margin" w:xAlign="inside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sdt>
    <w:sdtPr>
      <w:id w:val="555634470"/>
      <w:docPartObj>
        <w:docPartGallery w:val="autotext"/>
      </w:docPartObj>
    </w:sdtPr>
    <w:sdtContent>
      <w:p w14:paraId="61F05CF0">
        <w:pPr>
          <w:framePr w:wrap="auto" w:vAnchor="text" w:hAnchor="margin" w:xAlign="inside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sdt>
    <w:sdtPr>
      <w:id w:val="542313202"/>
      <w:docPartObj>
        <w:docPartGallery w:val="autotext"/>
      </w:docPartObj>
    </w:sdtPr>
    <w:sdtContent>
      <w:p w14:paraId="689C5233">
        <w:pPr>
          <w:framePr w:wrap="auto" w:vAnchor="text" w:hAnchor="margin" w:xAlign="center" w:y="1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2A100CC">
    <w:pPr>
      <w:pStyle w:val="12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386A">
    <w:pPr>
      <w:pStyle w:val="1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6C660">
    <w:pPr>
      <w:pStyle w:val="13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E2F6A">
    <w:pPr>
      <w:pStyle w:val="1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37B5CEA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FB1978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6FE9BCF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1688</Words>
  <Characters>1763</Characters>
  <TotalTime>0</TotalTime>
  <ScaleCrop>false</ScaleCrop>
  <LinksUpToDate>false</LinksUpToDate>
  <CharactersWithSpaces>1763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2026-05-14T07:07:00Z</dcterms:created>
  <dc:creator>user</dc:creator>
  <cp:lastModifiedBy>啊？</cp:lastModifiedBy>
  <dcterms:modified xsi:type="dcterms:W3CDTF">2026-06-08T11:39:25Z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F0405DF73F4AE8A39D24046A64E6AC3C_42</vt:lpwstr>
  </property>
  <property fmtid="{D5CDD505-2E9C-101B-9397-08002B2CF9AE}" pid="4" name="KSOTemplateDocerSaveRecord">
    <vt:lpwstr>eyJoZGlkIjoiMTY0N2QyN2I2ZmUyYzczMTQ5OGQ3NWVjMDZjYWI1MTgiLCJ1c2VySWQiOiIxNjE1MDczMTc3In0=</vt:lpwstr>
  </property>
</Properties>
</file>