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0" w:beforeLines="50" w:line="480" w:lineRule="auto"/>
        <w:ind w:firstLine="0" w:firstLineChars="0"/>
        <w:rPr>
          <w:rFonts w:ascii="宋体" w:hAnsi="宋体"/>
          <w:b/>
          <w:color w:val="auto"/>
          <w:kern w:val="0"/>
          <w:sz w:val="44"/>
          <w:szCs w:val="44"/>
        </w:rPr>
      </w:pPr>
    </w:p>
    <w:p>
      <w:pPr>
        <w:spacing w:before="190" w:beforeLines="50" w:line="480" w:lineRule="auto"/>
        <w:ind w:firstLine="0" w:firstLineChars="0"/>
        <w:rPr>
          <w:rFonts w:ascii="宋体" w:hAnsi="宋体"/>
          <w:b/>
          <w:color w:val="auto"/>
          <w:kern w:val="0"/>
          <w:sz w:val="44"/>
          <w:szCs w:val="44"/>
        </w:rPr>
      </w:pPr>
    </w:p>
    <w:p>
      <w:pPr>
        <w:ind w:firstLine="0" w:firstLineChars="0"/>
        <w:jc w:val="center"/>
        <w:rPr>
          <w:rFonts w:eastAsia="黑体"/>
          <w:b/>
          <w:color w:val="auto"/>
          <w:sz w:val="52"/>
          <w:szCs w:val="52"/>
        </w:rPr>
      </w:pPr>
      <w:r>
        <w:rPr>
          <w:rFonts w:hint="eastAsia" w:eastAsia="黑体"/>
          <w:b/>
          <w:color w:val="auto"/>
          <w:sz w:val="52"/>
          <w:szCs w:val="52"/>
        </w:rPr>
        <w:t>咸宁国家高新技术产业开发区</w:t>
      </w:r>
    </w:p>
    <w:p>
      <w:pPr>
        <w:spacing w:line="240" w:lineRule="auto"/>
        <w:ind w:firstLine="0" w:firstLineChars="0"/>
        <w:jc w:val="center"/>
        <w:rPr>
          <w:rFonts w:ascii="宋体" w:hAnsi="宋体"/>
          <w:b/>
          <w:color w:val="auto"/>
          <w:sz w:val="32"/>
          <w:szCs w:val="36"/>
        </w:rPr>
      </w:pPr>
    </w:p>
    <w:p>
      <w:pPr>
        <w:ind w:firstLine="0" w:firstLineChars="0"/>
        <w:jc w:val="center"/>
        <w:rPr>
          <w:rFonts w:eastAsia="黑体"/>
          <w:b/>
          <w:color w:val="auto"/>
          <w:sz w:val="52"/>
          <w:szCs w:val="52"/>
        </w:rPr>
      </w:pPr>
      <w:r>
        <w:rPr>
          <w:rFonts w:hint="eastAsia" w:eastAsia="黑体"/>
          <w:b/>
          <w:color w:val="auto"/>
          <w:sz w:val="52"/>
          <w:szCs w:val="52"/>
        </w:rPr>
        <w:t>区域节能报告</w:t>
      </w:r>
    </w:p>
    <w:p>
      <w:pPr>
        <w:spacing w:line="720" w:lineRule="auto"/>
        <w:ind w:firstLine="0" w:firstLineChars="0"/>
        <w:jc w:val="center"/>
        <w:rPr>
          <w:rFonts w:ascii="宋体" w:hAnsi="宋体"/>
          <w:b/>
          <w:color w:val="auto"/>
          <w:sz w:val="44"/>
          <w:szCs w:val="36"/>
        </w:rPr>
      </w:pPr>
    </w:p>
    <w:p>
      <w:pPr>
        <w:ind w:firstLine="0" w:firstLineChars="0"/>
        <w:rPr>
          <w:rFonts w:ascii="宋体" w:hAnsi="宋体"/>
          <w:b/>
          <w:color w:val="auto"/>
          <w:sz w:val="36"/>
          <w:szCs w:val="36"/>
        </w:rPr>
      </w:pPr>
    </w:p>
    <w:p>
      <w:pPr>
        <w:ind w:firstLine="0" w:firstLineChars="0"/>
        <w:jc w:val="center"/>
        <w:rPr>
          <w:rFonts w:ascii="宋体" w:hAnsi="宋体"/>
          <w:b/>
          <w:color w:val="auto"/>
          <w:sz w:val="36"/>
          <w:szCs w:val="36"/>
        </w:rPr>
      </w:pPr>
      <w:r>
        <w:rPr>
          <w:rFonts w:hint="eastAsia" w:ascii="宋体" w:hAnsi="宋体"/>
          <w:b/>
          <w:color w:val="auto"/>
          <w:sz w:val="36"/>
          <w:szCs w:val="36"/>
        </w:rPr>
        <w:t>（报批稿）</w:t>
      </w:r>
    </w:p>
    <w:p>
      <w:pPr>
        <w:ind w:firstLine="0" w:firstLineChars="0"/>
        <w:rPr>
          <w:rFonts w:ascii="宋体" w:hAnsi="宋体"/>
          <w:b/>
          <w:color w:val="auto"/>
          <w:sz w:val="36"/>
          <w:szCs w:val="36"/>
        </w:rPr>
      </w:pPr>
    </w:p>
    <w:p>
      <w:pPr>
        <w:ind w:firstLine="0" w:firstLineChars="0"/>
        <w:rPr>
          <w:rFonts w:ascii="宋体" w:hAnsi="宋体"/>
          <w:b/>
          <w:color w:val="auto"/>
          <w:sz w:val="24"/>
        </w:rPr>
      </w:pPr>
    </w:p>
    <w:p>
      <w:pPr>
        <w:ind w:firstLine="0" w:firstLineChars="0"/>
        <w:jc w:val="center"/>
        <w:rPr>
          <w:rFonts w:ascii="宋体" w:hAnsi="宋体"/>
          <w:b/>
          <w:color w:val="auto"/>
          <w:sz w:val="24"/>
        </w:rPr>
      </w:pPr>
    </w:p>
    <w:p>
      <w:pPr>
        <w:ind w:firstLine="0" w:firstLineChars="0"/>
        <w:jc w:val="center"/>
        <w:rPr>
          <w:rFonts w:ascii="宋体" w:hAnsi="宋体"/>
          <w:b/>
          <w:color w:val="auto"/>
          <w:sz w:val="24"/>
        </w:rPr>
      </w:pPr>
    </w:p>
    <w:p>
      <w:pPr>
        <w:ind w:firstLine="0" w:firstLineChars="0"/>
        <w:rPr>
          <w:rFonts w:ascii="宋体" w:hAnsi="宋体"/>
          <w:b/>
          <w:color w:val="auto"/>
          <w:sz w:val="24"/>
        </w:rPr>
      </w:pPr>
    </w:p>
    <w:p>
      <w:pPr>
        <w:ind w:firstLine="0" w:firstLineChars="0"/>
        <w:jc w:val="center"/>
        <w:rPr>
          <w:rFonts w:ascii="宋体" w:hAnsi="宋体"/>
          <w:b/>
          <w:color w:val="auto"/>
          <w:sz w:val="24"/>
        </w:rPr>
      </w:pPr>
    </w:p>
    <w:p>
      <w:pPr>
        <w:ind w:firstLine="0" w:firstLineChars="0"/>
        <w:jc w:val="center"/>
        <w:rPr>
          <w:rFonts w:ascii="宋体" w:hAnsi="宋体"/>
          <w:b/>
          <w:color w:val="auto"/>
          <w:sz w:val="32"/>
          <w:szCs w:val="32"/>
        </w:rPr>
      </w:pPr>
      <w:r>
        <w:rPr>
          <w:rFonts w:hint="eastAsia" w:ascii="宋体" w:hAnsi="宋体"/>
          <w:b/>
          <w:color w:val="auto"/>
          <w:sz w:val="32"/>
          <w:szCs w:val="32"/>
        </w:rPr>
        <w:t>建设单位：咸宁高新技术产业开发区管理委员会</w:t>
      </w:r>
    </w:p>
    <w:p>
      <w:pPr>
        <w:ind w:firstLine="0" w:firstLineChars="0"/>
        <w:jc w:val="center"/>
        <w:rPr>
          <w:rFonts w:ascii="宋体" w:hAnsi="宋体"/>
          <w:b/>
          <w:color w:val="auto"/>
          <w:sz w:val="32"/>
          <w:szCs w:val="32"/>
        </w:rPr>
      </w:pPr>
      <w:r>
        <w:rPr>
          <w:rFonts w:hint="eastAsia" w:ascii="宋体" w:hAnsi="宋体"/>
          <w:b/>
          <w:color w:val="auto"/>
          <w:sz w:val="32"/>
          <w:szCs w:val="32"/>
        </w:rPr>
        <w:t>编制单位：湖北省工程</w:t>
      </w:r>
      <w:r>
        <w:rPr>
          <w:rFonts w:ascii="宋体" w:hAnsi="宋体"/>
          <w:b/>
          <w:color w:val="auto"/>
          <w:sz w:val="32"/>
          <w:szCs w:val="32"/>
        </w:rPr>
        <w:t>咨询股份有限公司</w:t>
      </w:r>
    </w:p>
    <w:p>
      <w:pPr>
        <w:ind w:firstLine="0" w:firstLineChars="0"/>
        <w:jc w:val="center"/>
        <w:rPr>
          <w:rFonts w:ascii="宋体" w:hAnsi="宋体"/>
          <w:b/>
          <w:color w:val="auto"/>
          <w:sz w:val="32"/>
          <w:szCs w:val="32"/>
        </w:rPr>
      </w:pPr>
    </w:p>
    <w:p>
      <w:pPr>
        <w:ind w:firstLine="0" w:firstLineChars="0"/>
        <w:jc w:val="center"/>
        <w:rPr>
          <w:rFonts w:ascii="宋体" w:hAnsi="宋体"/>
          <w:b/>
          <w:color w:val="auto"/>
          <w:sz w:val="32"/>
          <w:szCs w:val="44"/>
        </w:rPr>
      </w:pPr>
      <w:r>
        <w:rPr>
          <w:rFonts w:hint="eastAsia" w:ascii="宋体" w:hAnsi="宋体"/>
          <w:b/>
          <w:color w:val="auto"/>
          <w:sz w:val="32"/>
          <w:szCs w:val="44"/>
        </w:rPr>
        <w:t>二〇二〇年五月</w:t>
      </w:r>
      <w:r>
        <w:rPr>
          <w:rFonts w:ascii="宋体" w:hAnsi="宋体"/>
          <w:b/>
          <w:color w:val="auto"/>
          <w:sz w:val="32"/>
          <w:szCs w:val="44"/>
        </w:rPr>
        <w:br w:type="page"/>
      </w:r>
    </w:p>
    <w:p>
      <w:pPr>
        <w:spacing w:before="190" w:beforeLines="50" w:line="480" w:lineRule="auto"/>
        <w:ind w:firstLine="0" w:firstLineChars="0"/>
        <w:jc w:val="center"/>
        <w:rPr>
          <w:b/>
          <w:color w:val="auto"/>
          <w:sz w:val="44"/>
          <w:szCs w:val="44"/>
        </w:rPr>
      </w:pPr>
      <w:bookmarkStart w:id="0" w:name="_Hlk514857029"/>
    </w:p>
    <w:p>
      <w:pPr>
        <w:spacing w:before="190" w:beforeLines="50" w:line="480" w:lineRule="auto"/>
        <w:ind w:firstLine="0" w:firstLineChars="0"/>
        <w:jc w:val="center"/>
        <w:rPr>
          <w:b/>
          <w:color w:val="auto"/>
          <w:sz w:val="44"/>
          <w:szCs w:val="44"/>
        </w:rPr>
      </w:pPr>
    </w:p>
    <w:p>
      <w:pPr>
        <w:ind w:firstLine="0" w:firstLineChars="0"/>
        <w:jc w:val="center"/>
        <w:rPr>
          <w:rFonts w:eastAsia="黑体"/>
          <w:b/>
          <w:color w:val="auto"/>
          <w:sz w:val="52"/>
          <w:szCs w:val="52"/>
        </w:rPr>
      </w:pPr>
      <w:r>
        <w:rPr>
          <w:rFonts w:hint="eastAsia" w:eastAsia="黑体"/>
          <w:b/>
          <w:color w:val="auto"/>
          <w:sz w:val="52"/>
          <w:szCs w:val="52"/>
        </w:rPr>
        <w:t>咸宁国家高新技术产业开发区</w:t>
      </w:r>
    </w:p>
    <w:p>
      <w:pPr>
        <w:spacing w:line="240" w:lineRule="auto"/>
        <w:ind w:firstLine="0" w:firstLineChars="0"/>
        <w:jc w:val="center"/>
        <w:rPr>
          <w:rFonts w:ascii="宋体" w:hAnsi="宋体"/>
          <w:b/>
          <w:color w:val="auto"/>
          <w:sz w:val="32"/>
          <w:szCs w:val="36"/>
        </w:rPr>
      </w:pPr>
    </w:p>
    <w:p>
      <w:pPr>
        <w:ind w:firstLine="0" w:firstLineChars="0"/>
        <w:jc w:val="center"/>
        <w:rPr>
          <w:rFonts w:eastAsia="黑体"/>
          <w:b/>
          <w:color w:val="auto"/>
          <w:sz w:val="52"/>
          <w:szCs w:val="52"/>
        </w:rPr>
      </w:pPr>
      <w:r>
        <w:rPr>
          <w:rFonts w:hint="eastAsia" w:eastAsia="黑体"/>
          <w:b/>
          <w:color w:val="auto"/>
          <w:sz w:val="52"/>
          <w:szCs w:val="52"/>
        </w:rPr>
        <w:t>区域节能报告</w:t>
      </w:r>
    </w:p>
    <w:p>
      <w:pPr>
        <w:ind w:firstLine="0" w:firstLineChars="0"/>
        <w:jc w:val="center"/>
        <w:rPr>
          <w:b/>
          <w:color w:val="auto"/>
          <w:sz w:val="44"/>
          <w:szCs w:val="44"/>
        </w:rPr>
      </w:pPr>
    </w:p>
    <w:p>
      <w:pPr>
        <w:ind w:firstLine="0" w:firstLineChars="0"/>
        <w:jc w:val="center"/>
        <w:rPr>
          <w:rFonts w:ascii="宋体" w:hAnsi="宋体"/>
          <w:b/>
          <w:color w:val="auto"/>
          <w:sz w:val="32"/>
          <w:szCs w:val="44"/>
        </w:rPr>
      </w:pPr>
    </w:p>
    <w:p>
      <w:pPr>
        <w:ind w:firstLine="0" w:firstLineChars="0"/>
        <w:rPr>
          <w:rFonts w:ascii="宋体" w:hAnsi="宋体"/>
          <w:b/>
          <w:color w:val="auto"/>
          <w:sz w:val="32"/>
          <w:szCs w:val="44"/>
        </w:rPr>
      </w:pPr>
    </w:p>
    <w:p>
      <w:pPr>
        <w:ind w:firstLine="0" w:firstLineChars="0"/>
        <w:jc w:val="center"/>
        <w:rPr>
          <w:rFonts w:ascii="宋体" w:hAnsi="宋体"/>
          <w:b/>
          <w:color w:val="auto"/>
          <w:sz w:val="32"/>
          <w:szCs w:val="44"/>
        </w:rPr>
      </w:pPr>
    </w:p>
    <w:p>
      <w:pPr>
        <w:ind w:firstLine="0" w:firstLineChars="0"/>
        <w:jc w:val="center"/>
        <w:rPr>
          <w:rFonts w:ascii="宋体" w:hAnsi="宋体"/>
          <w:b/>
          <w:color w:val="auto"/>
          <w:sz w:val="32"/>
          <w:szCs w:val="44"/>
        </w:rPr>
      </w:pPr>
    </w:p>
    <w:p>
      <w:pPr>
        <w:ind w:firstLine="0" w:firstLineChars="0"/>
        <w:jc w:val="center"/>
        <w:rPr>
          <w:rFonts w:ascii="宋体" w:hAnsi="宋体"/>
          <w:b/>
          <w:color w:val="auto"/>
          <w:sz w:val="32"/>
          <w:szCs w:val="44"/>
        </w:rPr>
      </w:pPr>
    </w:p>
    <w:p>
      <w:pPr>
        <w:ind w:firstLine="0" w:firstLineChars="0"/>
        <w:jc w:val="center"/>
        <w:rPr>
          <w:rFonts w:ascii="宋体" w:hAnsi="宋体"/>
          <w:b/>
          <w:color w:val="auto"/>
          <w:sz w:val="32"/>
          <w:szCs w:val="44"/>
        </w:rPr>
      </w:pPr>
    </w:p>
    <w:p>
      <w:pPr>
        <w:ind w:firstLine="0" w:firstLineChars="0"/>
        <w:rPr>
          <w:rFonts w:ascii="宋体" w:hAnsi="宋体"/>
          <w:b/>
          <w:color w:val="auto"/>
          <w:sz w:val="32"/>
          <w:szCs w:val="44"/>
        </w:rPr>
      </w:pPr>
    </w:p>
    <w:p>
      <w:pPr>
        <w:ind w:firstLine="0" w:firstLineChars="0"/>
        <w:jc w:val="center"/>
        <w:rPr>
          <w:color w:val="auto"/>
          <w:szCs w:val="28"/>
        </w:rPr>
      </w:pPr>
      <w:r>
        <w:rPr>
          <w:color w:val="auto"/>
          <w:szCs w:val="28"/>
        </w:rPr>
        <w:t>法定代表人：</w:t>
      </w:r>
      <w:r>
        <w:rPr>
          <w:rFonts w:hint="eastAsia"/>
          <w:color w:val="auto"/>
          <w:szCs w:val="28"/>
        </w:rPr>
        <w:t>严云成</w:t>
      </w:r>
    </w:p>
    <w:p>
      <w:pPr>
        <w:ind w:firstLine="0" w:firstLineChars="0"/>
        <w:jc w:val="center"/>
        <w:rPr>
          <w:color w:val="auto"/>
          <w:szCs w:val="28"/>
        </w:rPr>
      </w:pPr>
      <w:r>
        <w:rPr>
          <w:color w:val="auto"/>
          <w:szCs w:val="28"/>
        </w:rPr>
        <w:t>技术负责人：</w:t>
      </w:r>
      <w:r>
        <w:rPr>
          <w:rFonts w:hint="eastAsia"/>
          <w:color w:val="auto"/>
          <w:szCs w:val="28"/>
        </w:rPr>
        <w:t>张利真</w:t>
      </w:r>
    </w:p>
    <w:p>
      <w:pPr>
        <w:ind w:firstLine="0" w:firstLineChars="0"/>
        <w:jc w:val="center"/>
        <w:rPr>
          <w:color w:val="auto"/>
          <w:szCs w:val="28"/>
        </w:rPr>
      </w:pPr>
      <w:r>
        <w:rPr>
          <w:color w:val="auto"/>
          <w:szCs w:val="28"/>
        </w:rPr>
        <w:t>项目负责人：</w:t>
      </w:r>
      <w:r>
        <w:rPr>
          <w:rFonts w:hint="eastAsia"/>
          <w:color w:val="auto"/>
          <w:szCs w:val="28"/>
        </w:rPr>
        <w:t>魏  炜</w:t>
      </w:r>
    </w:p>
    <w:p>
      <w:pPr>
        <w:ind w:firstLine="0" w:firstLineChars="0"/>
        <w:jc w:val="center"/>
        <w:rPr>
          <w:color w:val="auto"/>
          <w:szCs w:val="28"/>
        </w:rPr>
      </w:pPr>
    </w:p>
    <w:bookmarkEnd w:id="0"/>
    <w:p>
      <w:pPr>
        <w:ind w:firstLine="0" w:firstLineChars="0"/>
        <w:jc w:val="center"/>
        <w:rPr>
          <w:b/>
          <w:color w:val="auto"/>
          <w:szCs w:val="30"/>
        </w:rPr>
      </w:pPr>
      <w:r>
        <w:rPr>
          <w:rFonts w:hint="eastAsia"/>
          <w:b/>
          <w:color w:val="auto"/>
          <w:szCs w:val="30"/>
        </w:rPr>
        <w:t>二〇二〇年五月</w:t>
      </w:r>
    </w:p>
    <w:p>
      <w:pPr>
        <w:widowControl/>
        <w:ind w:firstLine="0" w:firstLineChars="0"/>
        <w:jc w:val="center"/>
        <w:rPr>
          <w:rFonts w:ascii="宋体" w:hAnsi="宋体"/>
          <w:b/>
          <w:color w:val="auto"/>
          <w:sz w:val="32"/>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800" w:bottom="1440" w:left="1800" w:header="851" w:footer="992" w:gutter="0"/>
          <w:cols w:space="720" w:num="1"/>
          <w:docGrid w:type="lines" w:linePitch="381" w:charSpace="0"/>
        </w:sectPr>
      </w:pPr>
    </w:p>
    <w:p>
      <w:pPr>
        <w:widowControl/>
        <w:ind w:firstLine="0" w:firstLineChars="0"/>
        <w:jc w:val="center"/>
        <w:rPr>
          <w:rFonts w:ascii="宋体" w:hAnsi="宋体"/>
          <w:b/>
          <w:color w:val="auto"/>
          <w:sz w:val="32"/>
          <w:szCs w:val="28"/>
        </w:rPr>
      </w:pPr>
      <w:r>
        <w:rPr>
          <w:rFonts w:ascii="宋体" w:hAnsi="宋体"/>
          <w:b/>
          <w:color w:val="auto"/>
          <w:sz w:val="32"/>
          <w:szCs w:val="28"/>
        </w:rPr>
        <w:drawing>
          <wp:anchor distT="0" distB="0" distL="114300" distR="114300" simplePos="0" relativeHeight="251655168" behindDoc="0" locked="0" layoutInCell="1" allowOverlap="1">
            <wp:simplePos x="0" y="0"/>
            <wp:positionH relativeFrom="margin">
              <wp:posOffset>-1105535</wp:posOffset>
            </wp:positionH>
            <wp:positionV relativeFrom="margin">
              <wp:posOffset>-886460</wp:posOffset>
            </wp:positionV>
            <wp:extent cx="7515225" cy="1062799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515225" cy="10627995"/>
                    </a:xfrm>
                    <a:prstGeom prst="rect">
                      <a:avLst/>
                    </a:prstGeom>
                  </pic:spPr>
                </pic:pic>
              </a:graphicData>
            </a:graphic>
          </wp:anchor>
        </w:drawing>
      </w:r>
    </w:p>
    <w:p>
      <w:pPr>
        <w:widowControl/>
        <w:ind w:firstLine="0" w:firstLineChars="0"/>
        <w:jc w:val="center"/>
        <w:rPr>
          <w:rFonts w:ascii="宋体" w:hAnsi="宋体"/>
          <w:b/>
          <w:color w:val="auto"/>
          <w:sz w:val="32"/>
          <w:szCs w:val="28"/>
        </w:rPr>
        <w:sectPr>
          <w:pgSz w:w="11906" w:h="16838"/>
          <w:pgMar w:top="1440" w:right="1800" w:bottom="1440" w:left="1800" w:header="851" w:footer="992" w:gutter="0"/>
          <w:cols w:space="720" w:num="1"/>
          <w:docGrid w:type="lines" w:linePitch="381" w:charSpace="0"/>
        </w:sectPr>
      </w:pPr>
    </w:p>
    <w:p>
      <w:pPr>
        <w:widowControl/>
        <w:ind w:firstLine="0" w:firstLineChars="0"/>
        <w:jc w:val="center"/>
        <w:rPr>
          <w:rFonts w:ascii="宋体" w:hAnsi="宋体"/>
          <w:b/>
          <w:color w:val="auto"/>
          <w:sz w:val="32"/>
          <w:szCs w:val="28"/>
        </w:rPr>
      </w:pPr>
      <w:r>
        <w:rPr>
          <w:rFonts w:ascii="宋体" w:hAnsi="宋体"/>
          <w:b/>
          <w:color w:val="auto"/>
          <w:sz w:val="32"/>
          <w:szCs w:val="28"/>
        </w:rPr>
        <w:drawing>
          <wp:anchor distT="0" distB="0" distL="114300" distR="114300" simplePos="0" relativeHeight="251653120" behindDoc="0" locked="0" layoutInCell="1" allowOverlap="1">
            <wp:simplePos x="0" y="0"/>
            <wp:positionH relativeFrom="margin">
              <wp:posOffset>-1094740</wp:posOffset>
            </wp:positionH>
            <wp:positionV relativeFrom="margin">
              <wp:posOffset>-914400</wp:posOffset>
            </wp:positionV>
            <wp:extent cx="7493000" cy="1067752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493000" cy="10677525"/>
                    </a:xfrm>
                    <a:prstGeom prst="rect">
                      <a:avLst/>
                    </a:prstGeom>
                  </pic:spPr>
                </pic:pic>
              </a:graphicData>
            </a:graphic>
          </wp:anchor>
        </w:drawing>
      </w:r>
    </w:p>
    <w:p>
      <w:pPr>
        <w:widowControl/>
        <w:ind w:firstLine="0" w:firstLineChars="0"/>
        <w:jc w:val="center"/>
        <w:rPr>
          <w:rFonts w:ascii="宋体" w:hAnsi="宋体"/>
          <w:b/>
          <w:color w:val="auto"/>
          <w:sz w:val="32"/>
          <w:szCs w:val="28"/>
        </w:rPr>
      </w:pPr>
      <w:r>
        <w:rPr>
          <w:rFonts w:hint="eastAsia" w:ascii="宋体" w:hAnsi="宋体"/>
          <w:b/>
          <w:color w:val="auto"/>
          <w:sz w:val="32"/>
          <w:szCs w:val="28"/>
        </w:rPr>
        <w:t>编制</w:t>
      </w:r>
      <w:r>
        <w:rPr>
          <w:rFonts w:ascii="宋体" w:hAnsi="宋体"/>
          <w:b/>
          <w:color w:val="auto"/>
          <w:sz w:val="32"/>
          <w:szCs w:val="28"/>
        </w:rPr>
        <w:t>人员</w:t>
      </w:r>
    </w:p>
    <w:tbl>
      <w:tblPr>
        <w:tblStyle w:val="23"/>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1"/>
        <w:gridCol w:w="1596"/>
        <w:gridCol w:w="1665"/>
        <w:gridCol w:w="188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成员类别</w:t>
            </w:r>
          </w:p>
        </w:tc>
        <w:tc>
          <w:tcPr>
            <w:tcW w:w="1596"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姓名</w:t>
            </w:r>
          </w:p>
        </w:tc>
        <w:tc>
          <w:tcPr>
            <w:tcW w:w="1665"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职称</w:t>
            </w:r>
          </w:p>
        </w:tc>
        <w:tc>
          <w:tcPr>
            <w:tcW w:w="1889"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专业</w:t>
            </w:r>
          </w:p>
        </w:tc>
        <w:tc>
          <w:tcPr>
            <w:tcW w:w="1544"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项目负责人</w:t>
            </w: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魏炜</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环境工程</w:t>
            </w:r>
          </w:p>
        </w:tc>
        <w:tc>
          <w:tcPr>
            <w:tcW w:w="1544" w:type="dxa"/>
            <w:vAlign w:val="center"/>
          </w:tcPr>
          <w:p>
            <w:pPr>
              <w:spacing w:line="240" w:lineRule="auto"/>
              <w:ind w:firstLine="0" w:firstLineChars="0"/>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restart"/>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项目组成员</w:t>
            </w: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张利真</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高级</w:t>
            </w:r>
            <w:r>
              <w:rPr>
                <w:rFonts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工程管理</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王长宇</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医药化工</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熊</w:t>
            </w:r>
            <w:r>
              <w:rPr>
                <w:rFonts w:ascii="宋体" w:hAnsi="宋体"/>
                <w:color w:val="auto"/>
                <w:sz w:val="24"/>
                <w:szCs w:val="24"/>
              </w:rPr>
              <w:t>锦</w:t>
            </w:r>
            <w:r>
              <w:rPr>
                <w:rFonts w:hint="eastAsia" w:ascii="宋体" w:hAnsi="宋体"/>
                <w:color w:val="auto"/>
                <w:sz w:val="24"/>
                <w:szCs w:val="24"/>
              </w:rPr>
              <w:t>辉</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电子信息</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刘</w:t>
            </w:r>
            <w:r>
              <w:rPr>
                <w:rFonts w:ascii="宋体" w:hAnsi="宋体"/>
                <w:color w:val="auto"/>
                <w:sz w:val="24"/>
                <w:szCs w:val="24"/>
              </w:rPr>
              <w:t>庆丰</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机械</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郝思军</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轻工纺织</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李美丽</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color w:val="auto"/>
                <w:sz w:val="24"/>
                <w:szCs w:val="24"/>
              </w:rPr>
            </w:pPr>
            <w:r>
              <w:rPr>
                <w:rFonts w:hint="eastAsia"/>
                <w:color w:val="auto"/>
                <w:sz w:val="24"/>
                <w:szCs w:val="24"/>
              </w:rPr>
              <w:t>建材</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restart"/>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报告编制人</w:t>
            </w: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魏炜</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环境工程</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王长宇</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医药化工</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熊</w:t>
            </w:r>
            <w:r>
              <w:rPr>
                <w:rFonts w:ascii="宋体" w:hAnsi="宋体"/>
                <w:color w:val="auto"/>
                <w:sz w:val="24"/>
                <w:szCs w:val="24"/>
              </w:rPr>
              <w:t>锦</w:t>
            </w:r>
            <w:r>
              <w:rPr>
                <w:rFonts w:hint="eastAsia" w:ascii="宋体" w:hAnsi="宋体"/>
                <w:color w:val="auto"/>
                <w:sz w:val="24"/>
                <w:szCs w:val="24"/>
              </w:rPr>
              <w:t>辉</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电子信息</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刘</w:t>
            </w:r>
            <w:r>
              <w:rPr>
                <w:rFonts w:ascii="宋体" w:hAnsi="宋体"/>
                <w:color w:val="auto"/>
                <w:sz w:val="24"/>
                <w:szCs w:val="24"/>
              </w:rPr>
              <w:t>庆丰</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机械</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郝思军</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轻工纺织</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Merge w:val="continue"/>
            <w:vAlign w:val="center"/>
          </w:tcPr>
          <w:p>
            <w:pPr>
              <w:spacing w:line="240" w:lineRule="auto"/>
              <w:ind w:firstLine="0" w:firstLineChars="0"/>
              <w:jc w:val="center"/>
              <w:rPr>
                <w:rFonts w:ascii="宋体" w:hAnsi="宋体"/>
                <w:b/>
                <w:color w:val="auto"/>
                <w:sz w:val="24"/>
                <w:szCs w:val="24"/>
              </w:rPr>
            </w:pP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李美丽</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工程师</w:t>
            </w:r>
          </w:p>
        </w:tc>
        <w:tc>
          <w:tcPr>
            <w:tcW w:w="1889" w:type="dxa"/>
            <w:vAlign w:val="center"/>
          </w:tcPr>
          <w:p>
            <w:pPr>
              <w:spacing w:line="240" w:lineRule="auto"/>
              <w:ind w:firstLine="0" w:firstLineChars="0"/>
              <w:jc w:val="center"/>
              <w:rPr>
                <w:color w:val="auto"/>
                <w:sz w:val="24"/>
                <w:szCs w:val="24"/>
              </w:rPr>
            </w:pPr>
            <w:r>
              <w:rPr>
                <w:rFonts w:hint="eastAsia"/>
                <w:color w:val="auto"/>
                <w:sz w:val="24"/>
                <w:szCs w:val="24"/>
              </w:rPr>
              <w:t>建材</w:t>
            </w:r>
          </w:p>
        </w:tc>
        <w:tc>
          <w:tcPr>
            <w:tcW w:w="1544" w:type="dxa"/>
            <w:vAlign w:val="center"/>
          </w:tcPr>
          <w:p>
            <w:pPr>
              <w:spacing w:line="240" w:lineRule="auto"/>
              <w:ind w:firstLine="0" w:firstLineChars="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91" w:type="dxa"/>
            <w:vAlign w:val="center"/>
          </w:tcPr>
          <w:p>
            <w:pPr>
              <w:spacing w:line="240" w:lineRule="auto"/>
              <w:ind w:firstLine="0" w:firstLineChars="0"/>
              <w:jc w:val="center"/>
              <w:rPr>
                <w:rFonts w:ascii="宋体" w:hAnsi="宋体"/>
                <w:b/>
                <w:color w:val="auto"/>
                <w:sz w:val="24"/>
                <w:szCs w:val="24"/>
              </w:rPr>
            </w:pPr>
            <w:r>
              <w:rPr>
                <w:rFonts w:hint="eastAsia" w:ascii="宋体" w:hAnsi="宋体"/>
                <w:b/>
                <w:color w:val="auto"/>
                <w:sz w:val="24"/>
                <w:szCs w:val="24"/>
              </w:rPr>
              <w:t>报告审核人</w:t>
            </w:r>
          </w:p>
        </w:tc>
        <w:tc>
          <w:tcPr>
            <w:tcW w:w="1596"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张利真</w:t>
            </w:r>
          </w:p>
        </w:tc>
        <w:tc>
          <w:tcPr>
            <w:tcW w:w="1665"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高级</w:t>
            </w:r>
            <w:r>
              <w:rPr>
                <w:rFonts w:ascii="宋体" w:hAnsi="宋体"/>
                <w:color w:val="auto"/>
                <w:sz w:val="24"/>
                <w:szCs w:val="24"/>
              </w:rPr>
              <w:t>工程师</w:t>
            </w:r>
          </w:p>
        </w:tc>
        <w:tc>
          <w:tcPr>
            <w:tcW w:w="1889" w:type="dxa"/>
            <w:vAlign w:val="center"/>
          </w:tcPr>
          <w:p>
            <w:pPr>
              <w:spacing w:line="240" w:lineRule="auto"/>
              <w:ind w:firstLine="0" w:firstLineChars="0"/>
              <w:jc w:val="center"/>
              <w:rPr>
                <w:rFonts w:ascii="宋体" w:hAnsi="宋体"/>
                <w:color w:val="auto"/>
                <w:sz w:val="24"/>
                <w:szCs w:val="24"/>
              </w:rPr>
            </w:pPr>
            <w:r>
              <w:rPr>
                <w:rFonts w:hint="eastAsia" w:ascii="宋体" w:hAnsi="宋体"/>
                <w:color w:val="auto"/>
                <w:sz w:val="24"/>
                <w:szCs w:val="24"/>
              </w:rPr>
              <w:t>工程管理</w:t>
            </w:r>
          </w:p>
        </w:tc>
        <w:tc>
          <w:tcPr>
            <w:tcW w:w="1544" w:type="dxa"/>
            <w:vAlign w:val="center"/>
          </w:tcPr>
          <w:p>
            <w:pPr>
              <w:spacing w:line="240" w:lineRule="auto"/>
              <w:ind w:firstLine="0" w:firstLineChars="0"/>
              <w:jc w:val="center"/>
              <w:rPr>
                <w:rFonts w:ascii="宋体" w:hAnsi="宋体"/>
                <w:color w:val="auto"/>
                <w:sz w:val="24"/>
                <w:szCs w:val="24"/>
              </w:rPr>
            </w:pPr>
          </w:p>
        </w:tc>
      </w:tr>
    </w:tbl>
    <w:p>
      <w:pPr>
        <w:widowControl/>
        <w:ind w:firstLine="0" w:firstLineChars="0"/>
        <w:rPr>
          <w:rFonts w:ascii="宋体" w:hAnsi="宋体"/>
          <w:color w:val="auto"/>
          <w:sz w:val="32"/>
          <w:szCs w:val="28"/>
        </w:rPr>
      </w:pPr>
    </w:p>
    <w:p>
      <w:pPr>
        <w:tabs>
          <w:tab w:val="left" w:pos="2189"/>
        </w:tabs>
        <w:ind w:firstLine="0" w:firstLineChars="0"/>
        <w:rPr>
          <w:rFonts w:ascii="宋体" w:hAnsi="宋体"/>
          <w:color w:val="auto"/>
          <w:szCs w:val="28"/>
        </w:rPr>
      </w:pPr>
    </w:p>
    <w:p>
      <w:pPr>
        <w:tabs>
          <w:tab w:val="left" w:pos="2189"/>
        </w:tabs>
        <w:ind w:firstLine="0" w:firstLineChars="0"/>
        <w:rPr>
          <w:rFonts w:ascii="宋体" w:hAnsi="宋体"/>
          <w:color w:val="auto"/>
          <w:sz w:val="30"/>
          <w:szCs w:val="30"/>
        </w:rPr>
        <w:sectPr>
          <w:pgSz w:w="11906" w:h="16838"/>
          <w:pgMar w:top="1440" w:right="1800" w:bottom="1440" w:left="1800" w:header="851" w:footer="992" w:gutter="0"/>
          <w:cols w:space="720" w:num="1"/>
          <w:docGrid w:type="lines" w:linePitch="381" w:charSpace="0"/>
        </w:sectPr>
      </w:pPr>
    </w:p>
    <w:p>
      <w:pPr>
        <w:pStyle w:val="2"/>
        <w:numPr>
          <w:ilvl w:val="0"/>
          <w:numId w:val="0"/>
        </w:numPr>
        <w:rPr>
          <w:color w:val="auto"/>
        </w:rPr>
      </w:pPr>
      <w:bookmarkStart w:id="1" w:name="_Toc39096573"/>
      <w:bookmarkStart w:id="2" w:name="_Toc39827521"/>
      <w:bookmarkStart w:id="3" w:name="_Toc39827710"/>
      <w:bookmarkStart w:id="4" w:name="_Toc40625142"/>
      <w:r>
        <w:rPr>
          <w:rFonts w:hint="eastAsia"/>
          <w:color w:val="auto"/>
        </w:rPr>
        <w:t>前 言</w:t>
      </w:r>
      <w:bookmarkEnd w:id="1"/>
      <w:bookmarkEnd w:id="2"/>
      <w:bookmarkEnd w:id="3"/>
      <w:bookmarkEnd w:id="4"/>
    </w:p>
    <w:p>
      <w:pPr>
        <w:ind w:firstLine="560"/>
        <w:rPr>
          <w:color w:val="auto"/>
        </w:rPr>
      </w:pPr>
      <w:r>
        <w:rPr>
          <w:rFonts w:hint="eastAsia"/>
          <w:color w:val="auto"/>
        </w:rPr>
        <w:t>为认真做好区域性统一评估试点工作，优化营商环境，推进节能领域行政审批制度改革，全面提升固定资产投资项目节能审查效率，2019年3月13日，国务院办公厅下发了《国务院办公厅关于全面开展工程建设项目审批制度改革的实施意见》（国办发（2019）11号）要求精简审批环节，推行由政府统一组织对环境影响评估、节能评估等实行区域评估。湖北省先后下发了《省人民政府办公厅关于印发湖北省工程建设项目审批制度改革实施方案的通知》（鄂政办发（2019）44号）和《省发展改革委关于印发＜湖北省县（市、区）区域节能评估实施细则（试行）的通知＞》（鄂发改规（2019）2号），明确要求在全省各地探索统一开展区域节能评估。</w:t>
      </w:r>
    </w:p>
    <w:p>
      <w:pPr>
        <w:ind w:firstLine="560"/>
        <w:rPr>
          <w:color w:val="auto"/>
        </w:rPr>
      </w:pPr>
      <w:r>
        <w:rPr>
          <w:rFonts w:hint="eastAsia"/>
          <w:color w:val="auto"/>
        </w:rPr>
        <w:t>咸宁国家高新技术产业开发区前身为咸宁经济开发区，组建于2006年7月。2015年2月，经省政府批准更名为咸宁高新技术产业园区，努力打造咸宁创新驱动先行区、鄂南强市增长极、绿色崛起排头兵，一直保持快速发展态势。2017年2月，经国务院批复，正式成为国家高新技术产业开发区（简称</w:t>
      </w:r>
      <w:r>
        <w:rPr>
          <w:rFonts w:asciiTheme="minorEastAsia" w:hAnsiTheme="minorEastAsia" w:eastAsiaTheme="minorEastAsia"/>
          <w:color w:val="auto"/>
        </w:rPr>
        <w:t>“</w:t>
      </w:r>
      <w:r>
        <w:rPr>
          <w:rFonts w:hint="eastAsia" w:asciiTheme="minorEastAsia" w:hAnsiTheme="minorEastAsia" w:eastAsiaTheme="minorEastAsia"/>
          <w:color w:val="auto"/>
        </w:rPr>
        <w:t>咸宁</w:t>
      </w:r>
      <w:r>
        <w:rPr>
          <w:rFonts w:asciiTheme="minorEastAsia" w:hAnsiTheme="minorEastAsia" w:eastAsiaTheme="minorEastAsia"/>
          <w:color w:val="auto"/>
        </w:rPr>
        <w:t>高新区”</w:t>
      </w:r>
      <w:r>
        <w:rPr>
          <w:rFonts w:hint="eastAsia"/>
          <w:color w:val="auto"/>
        </w:rPr>
        <w:t>），成为咸宁市重要的经济增长极、先进制造业核心。近年来，咸宁高新区先后引进红牛、南玻、奥瑞金、立邦等行业</w:t>
      </w:r>
      <w:r>
        <w:rPr>
          <w:color w:val="auto"/>
        </w:rPr>
        <w:t>龙头</w:t>
      </w:r>
      <w:r>
        <w:rPr>
          <w:rFonts w:hint="eastAsia"/>
          <w:color w:val="auto"/>
        </w:rPr>
        <w:t>企业，不断增强发展后劲，实现产业集聚，实力壮大，主要经济指标超出全省平均水平，增幅位居前列，园区呈现欣欣向荣的发展态势。</w:t>
      </w:r>
    </w:p>
    <w:p>
      <w:pPr>
        <w:ind w:firstLine="560"/>
        <w:rPr>
          <w:color w:val="auto"/>
        </w:rPr>
      </w:pPr>
      <w:r>
        <w:rPr>
          <w:rFonts w:hint="eastAsia"/>
          <w:color w:val="auto"/>
        </w:rPr>
        <w:t>2019年</w:t>
      </w:r>
      <w:r>
        <w:rPr>
          <w:color w:val="auto"/>
        </w:rPr>
        <w:t>12</w:t>
      </w:r>
      <w:r>
        <w:rPr>
          <w:rFonts w:hint="eastAsia"/>
          <w:color w:val="auto"/>
        </w:rPr>
        <w:t>月，咸宁国家高新技术产业开发区管委会委托湖北省工程</w:t>
      </w:r>
      <w:r>
        <w:rPr>
          <w:color w:val="auto"/>
        </w:rPr>
        <w:t>咨询股份有限公司</w:t>
      </w:r>
      <w:r>
        <w:rPr>
          <w:rFonts w:hint="eastAsia"/>
          <w:color w:val="auto"/>
        </w:rPr>
        <w:t>承担《咸宁国家高新技术产业开发区区域节能报告》的编制工作。我司立即组织有关技术人员开展实地调研、资料收集等用能摸底调查，并依据国家、行业及地方相关法律法规、政策标准和产业规划，进行区域能效水平分析，测算评估区域能源“双控”指标，提出提高能源利用效率、降低能源消耗的对策和措施，编制区域节能报告，制定区域固定资产投资项目节能审查负面清单。</w:t>
      </w:r>
    </w:p>
    <w:p>
      <w:pPr>
        <w:ind w:firstLine="560"/>
        <w:rPr>
          <w:color w:val="auto"/>
        </w:rPr>
      </w:pPr>
    </w:p>
    <w:p>
      <w:pPr>
        <w:ind w:firstLine="560"/>
        <w:rPr>
          <w:color w:val="auto"/>
        </w:rPr>
        <w:sectPr>
          <w:headerReference r:id="rId9" w:type="default"/>
          <w:pgSz w:w="11906" w:h="16838"/>
          <w:pgMar w:top="1440" w:right="1800" w:bottom="1440" w:left="1800" w:header="850" w:footer="992" w:gutter="0"/>
          <w:cols w:space="425" w:num="1"/>
          <w:docGrid w:type="lines" w:linePitch="381" w:charSpace="0"/>
        </w:sectPr>
      </w:pPr>
    </w:p>
    <w:p>
      <w:pPr>
        <w:pStyle w:val="2"/>
        <w:numPr>
          <w:ilvl w:val="0"/>
          <w:numId w:val="0"/>
        </w:numPr>
        <w:spacing w:before="240" w:after="0" w:line="240" w:lineRule="auto"/>
        <w:rPr>
          <w:color w:val="auto"/>
        </w:rPr>
      </w:pPr>
      <w:bookmarkStart w:id="5" w:name="_Toc40625143"/>
      <w:bookmarkStart w:id="6" w:name="_Toc39827711"/>
      <w:bookmarkStart w:id="7" w:name="_Toc39827522"/>
      <w:bookmarkStart w:id="8" w:name="_Toc39096574"/>
      <w:r>
        <w:rPr>
          <w:rFonts w:hint="eastAsia"/>
          <w:color w:val="auto"/>
        </w:rPr>
        <w:t>目 录</w:t>
      </w:r>
      <w:bookmarkEnd w:id="5"/>
      <w:bookmarkEnd w:id="6"/>
      <w:bookmarkEnd w:id="7"/>
      <w:bookmarkEnd w:id="8"/>
    </w:p>
    <w:sdt>
      <w:sdtPr>
        <w:rPr>
          <w:rFonts w:ascii="Times New Roman" w:hAnsi="Times New Roman" w:eastAsia="宋体"/>
          <w:b w:val="0"/>
          <w:color w:val="auto"/>
          <w:szCs w:val="21"/>
          <w:lang w:val="zh-CN"/>
        </w:rPr>
        <w:id w:val="-1147584931"/>
        <w:docPartObj>
          <w:docPartGallery w:val="Table of Contents"/>
          <w:docPartUnique/>
        </w:docPartObj>
      </w:sdtPr>
      <w:sdtEndPr>
        <w:rPr>
          <w:rFonts w:ascii="Times New Roman" w:hAnsi="Times New Roman" w:eastAsia="宋体"/>
          <w:b w:val="0"/>
          <w:bCs/>
          <w:color w:val="auto"/>
          <w:szCs w:val="21"/>
          <w:lang w:val="zh-CN"/>
        </w:rPr>
      </w:sdtEndPr>
      <w:sdtContent>
        <w:p>
          <w:pPr>
            <w:pStyle w:val="19"/>
            <w:spacing w:afterLines="0" w:line="240" w:lineRule="auto"/>
            <w:rPr>
              <w:rFonts w:asciiTheme="minorHAnsi" w:hAnsiTheme="minorHAnsi" w:eastAsiaTheme="minorEastAsia" w:cstheme="minorBidi"/>
              <w:b w:val="0"/>
              <w:color w:val="auto"/>
              <w:sz w:val="20"/>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TOC \o "1-3" \h \z \u </w:instrText>
          </w:r>
          <w:r>
            <w:rPr>
              <w:rFonts w:ascii="Times New Roman" w:hAnsi="Times New Roman"/>
              <w:color w:val="auto"/>
              <w:sz w:val="24"/>
              <w:szCs w:val="24"/>
            </w:rPr>
            <w:fldChar w:fldCharType="separate"/>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"_Toc40625144" </w:instrText>
          </w:r>
          <w:r>
            <w:fldChar w:fldCharType="separate"/>
          </w:r>
          <w:r>
            <w:rPr>
              <w:rStyle w:val="28"/>
              <w:rFonts w:ascii="Times New Roman" w:hAnsi="Times New Roman"/>
              <w:color w:val="auto"/>
              <w:sz w:val="24"/>
              <w:szCs w:val="24"/>
            </w:rPr>
            <w:t>第一章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总论</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_Toc40625144 \h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"_Toc40625145" </w:instrText>
          </w:r>
          <w:r>
            <w:fldChar w:fldCharType="separate"/>
          </w:r>
          <w:r>
            <w:rPr>
              <w:rStyle w:val="28"/>
              <w:color w:val="auto"/>
              <w:sz w:val="24"/>
              <w:szCs w:val="24"/>
            </w:rPr>
            <w:t>1.1区域界定</w:t>
          </w:r>
          <w:r>
            <w:rPr>
              <w:color w:val="auto"/>
              <w:sz w:val="24"/>
              <w:szCs w:val="24"/>
            </w:rPr>
            <w:tab/>
          </w:r>
          <w:r>
            <w:rPr>
              <w:color w:val="auto"/>
              <w:sz w:val="24"/>
              <w:szCs w:val="24"/>
            </w:rPr>
            <w:fldChar w:fldCharType="begin"/>
          </w:r>
          <w:r>
            <w:rPr>
              <w:color w:val="auto"/>
              <w:sz w:val="24"/>
              <w:szCs w:val="24"/>
            </w:rPr>
            <w:instrText xml:space="preserve"> PAGEREF _Toc40625145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"_Toc40625146" </w:instrText>
          </w:r>
          <w:r>
            <w:fldChar w:fldCharType="separate"/>
          </w:r>
          <w:r>
            <w:rPr>
              <w:rStyle w:val="28"/>
              <w:color w:val="auto"/>
              <w:sz w:val="24"/>
              <w:szCs w:val="24"/>
            </w:rPr>
            <w:t>1.2评价依据</w:t>
          </w:r>
          <w:r>
            <w:rPr>
              <w:color w:val="auto"/>
              <w:sz w:val="24"/>
              <w:szCs w:val="24"/>
            </w:rPr>
            <w:tab/>
          </w:r>
          <w:r>
            <w:rPr>
              <w:color w:val="auto"/>
              <w:sz w:val="24"/>
              <w:szCs w:val="24"/>
            </w:rPr>
            <w:fldChar w:fldCharType="begin"/>
          </w:r>
          <w:r>
            <w:rPr>
              <w:color w:val="auto"/>
              <w:sz w:val="24"/>
              <w:szCs w:val="24"/>
            </w:rPr>
            <w:instrText xml:space="preserve"> PAGEREF _Toc40625146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"_Toc40625147" </w:instrText>
          </w:r>
          <w:r>
            <w:fldChar w:fldCharType="separate"/>
          </w:r>
          <w:r>
            <w:rPr>
              <w:rStyle w:val="28"/>
              <w:color w:val="auto"/>
              <w:sz w:val="24"/>
              <w:szCs w:val="24"/>
            </w:rPr>
            <w:t>1.2.1法律法规</w:t>
          </w:r>
          <w:r>
            <w:rPr>
              <w:color w:val="auto"/>
              <w:sz w:val="24"/>
              <w:szCs w:val="24"/>
            </w:rPr>
            <w:tab/>
          </w:r>
          <w:r>
            <w:rPr>
              <w:color w:val="auto"/>
              <w:sz w:val="24"/>
              <w:szCs w:val="24"/>
            </w:rPr>
            <w:fldChar w:fldCharType="begin"/>
          </w:r>
          <w:r>
            <w:rPr>
              <w:color w:val="auto"/>
              <w:sz w:val="24"/>
              <w:szCs w:val="24"/>
            </w:rPr>
            <w:instrText xml:space="preserve"> PAGEREF _Toc40625147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"_Toc40625148" </w:instrText>
          </w:r>
          <w:r>
            <w:fldChar w:fldCharType="separate"/>
          </w:r>
          <w:r>
            <w:rPr>
              <w:rStyle w:val="28"/>
              <w:color w:val="auto"/>
              <w:sz w:val="24"/>
              <w:szCs w:val="24"/>
            </w:rPr>
            <w:t>1.2.2部门及地方规范性文件</w:t>
          </w:r>
          <w:r>
            <w:rPr>
              <w:color w:val="auto"/>
              <w:sz w:val="24"/>
              <w:szCs w:val="24"/>
            </w:rPr>
            <w:tab/>
          </w:r>
          <w:r>
            <w:rPr>
              <w:color w:val="auto"/>
              <w:sz w:val="24"/>
              <w:szCs w:val="24"/>
            </w:rPr>
            <w:fldChar w:fldCharType="begin"/>
          </w:r>
          <w:r>
            <w:rPr>
              <w:color w:val="auto"/>
              <w:sz w:val="24"/>
              <w:szCs w:val="24"/>
            </w:rPr>
            <w:instrText xml:space="preserve"> PAGEREF _Toc40625148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"_Toc40625149" </w:instrText>
          </w:r>
          <w:r>
            <w:fldChar w:fldCharType="separate"/>
          </w:r>
          <w:r>
            <w:rPr>
              <w:rStyle w:val="28"/>
              <w:color w:val="auto"/>
              <w:sz w:val="24"/>
              <w:szCs w:val="24"/>
            </w:rPr>
            <w:t>1.2.3技术标准与规范</w:t>
          </w:r>
          <w:r>
            <w:rPr>
              <w:color w:val="auto"/>
              <w:sz w:val="24"/>
              <w:szCs w:val="24"/>
            </w:rPr>
            <w:tab/>
          </w:r>
          <w:r>
            <w:rPr>
              <w:color w:val="auto"/>
              <w:sz w:val="24"/>
              <w:szCs w:val="24"/>
            </w:rPr>
            <w:fldChar w:fldCharType="begin"/>
          </w:r>
          <w:r>
            <w:rPr>
              <w:color w:val="auto"/>
              <w:sz w:val="24"/>
              <w:szCs w:val="24"/>
            </w:rPr>
            <w:instrText xml:space="preserve"> PAGEREF _Toc40625149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"_Toc40625150" </w:instrText>
          </w:r>
          <w:r>
            <w:fldChar w:fldCharType="separate"/>
          </w:r>
          <w:r>
            <w:rPr>
              <w:rStyle w:val="28"/>
              <w:color w:val="auto"/>
              <w:sz w:val="24"/>
              <w:szCs w:val="24"/>
            </w:rPr>
            <w:t>1.2.4相关规划</w:t>
          </w:r>
          <w:r>
            <w:rPr>
              <w:color w:val="auto"/>
              <w:sz w:val="24"/>
              <w:szCs w:val="24"/>
            </w:rPr>
            <w:tab/>
          </w:r>
          <w:r>
            <w:rPr>
              <w:color w:val="auto"/>
              <w:sz w:val="24"/>
              <w:szCs w:val="24"/>
            </w:rPr>
            <w:fldChar w:fldCharType="begin"/>
          </w:r>
          <w:r>
            <w:rPr>
              <w:color w:val="auto"/>
              <w:sz w:val="24"/>
              <w:szCs w:val="24"/>
            </w:rPr>
            <w:instrText xml:space="preserve"> PAGEREF _Toc40625150 \h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"_Toc40625151" </w:instrText>
          </w:r>
          <w:r>
            <w:fldChar w:fldCharType="separate"/>
          </w:r>
          <w:r>
            <w:rPr>
              <w:rStyle w:val="28"/>
              <w:color w:val="auto"/>
              <w:sz w:val="24"/>
              <w:szCs w:val="24"/>
            </w:rPr>
            <w:t>1.3评估内容和重点、期限</w:t>
          </w:r>
          <w:r>
            <w:rPr>
              <w:color w:val="auto"/>
              <w:sz w:val="24"/>
              <w:szCs w:val="24"/>
            </w:rPr>
            <w:tab/>
          </w:r>
          <w:r>
            <w:rPr>
              <w:color w:val="auto"/>
              <w:sz w:val="24"/>
              <w:szCs w:val="24"/>
            </w:rPr>
            <w:fldChar w:fldCharType="begin"/>
          </w:r>
          <w:r>
            <w:rPr>
              <w:color w:val="auto"/>
              <w:sz w:val="24"/>
              <w:szCs w:val="24"/>
            </w:rPr>
            <w:instrText xml:space="preserve"> PAGEREF _Toc40625151 \h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"_Toc40625152" </w:instrText>
          </w:r>
          <w:r>
            <w:fldChar w:fldCharType="separate"/>
          </w:r>
          <w:r>
            <w:rPr>
              <w:rStyle w:val="28"/>
              <w:color w:val="auto"/>
              <w:sz w:val="24"/>
              <w:szCs w:val="24"/>
            </w:rPr>
            <w:t>1.3.1评估对象</w:t>
          </w:r>
          <w:r>
            <w:rPr>
              <w:color w:val="auto"/>
              <w:sz w:val="24"/>
              <w:szCs w:val="24"/>
            </w:rPr>
            <w:tab/>
          </w:r>
          <w:r>
            <w:rPr>
              <w:color w:val="auto"/>
              <w:sz w:val="24"/>
              <w:szCs w:val="24"/>
            </w:rPr>
            <w:fldChar w:fldCharType="begin"/>
          </w:r>
          <w:r>
            <w:rPr>
              <w:color w:val="auto"/>
              <w:sz w:val="24"/>
              <w:szCs w:val="24"/>
            </w:rPr>
            <w:instrText xml:space="preserve"> PAGEREF _Toc40625152 \h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"_Toc40625153" </w:instrText>
          </w:r>
          <w:r>
            <w:fldChar w:fldCharType="separate"/>
          </w:r>
          <w:r>
            <w:rPr>
              <w:rStyle w:val="28"/>
              <w:color w:val="auto"/>
              <w:sz w:val="24"/>
              <w:szCs w:val="24"/>
            </w:rPr>
            <w:t>1.3.2评估内容和重点</w:t>
          </w:r>
          <w:r>
            <w:rPr>
              <w:color w:val="auto"/>
              <w:sz w:val="24"/>
              <w:szCs w:val="24"/>
            </w:rPr>
            <w:tab/>
          </w:r>
          <w:r>
            <w:rPr>
              <w:color w:val="auto"/>
              <w:sz w:val="24"/>
              <w:szCs w:val="24"/>
            </w:rPr>
            <w:fldChar w:fldCharType="begin"/>
          </w:r>
          <w:r>
            <w:rPr>
              <w:color w:val="auto"/>
              <w:sz w:val="24"/>
              <w:szCs w:val="24"/>
            </w:rPr>
            <w:instrText xml:space="preserve"> PAGEREF _Toc40625153 \h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"_Toc40625154" </w:instrText>
          </w:r>
          <w:r>
            <w:fldChar w:fldCharType="separate"/>
          </w:r>
          <w:r>
            <w:rPr>
              <w:rStyle w:val="28"/>
              <w:color w:val="auto"/>
              <w:sz w:val="24"/>
              <w:szCs w:val="24"/>
            </w:rPr>
            <w:t>1.3.3评估期限</w:t>
          </w:r>
          <w:r>
            <w:rPr>
              <w:color w:val="auto"/>
              <w:sz w:val="24"/>
              <w:szCs w:val="24"/>
            </w:rPr>
            <w:tab/>
          </w:r>
          <w:r>
            <w:rPr>
              <w:color w:val="auto"/>
              <w:sz w:val="24"/>
              <w:szCs w:val="24"/>
            </w:rPr>
            <w:fldChar w:fldCharType="begin"/>
          </w:r>
          <w:r>
            <w:rPr>
              <w:color w:val="auto"/>
              <w:sz w:val="24"/>
              <w:szCs w:val="24"/>
            </w:rPr>
            <w:instrText xml:space="preserve"> PAGEREF _Toc40625154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"_Toc40625155" </w:instrText>
          </w:r>
          <w:r>
            <w:fldChar w:fldCharType="separate"/>
          </w:r>
          <w:r>
            <w:rPr>
              <w:rStyle w:val="28"/>
              <w:color w:val="auto"/>
              <w:sz w:val="24"/>
              <w:szCs w:val="24"/>
            </w:rPr>
            <w:t>1.4评估原则和目的</w:t>
          </w:r>
          <w:r>
            <w:rPr>
              <w:color w:val="auto"/>
              <w:sz w:val="24"/>
              <w:szCs w:val="24"/>
            </w:rPr>
            <w:tab/>
          </w:r>
          <w:r>
            <w:rPr>
              <w:color w:val="auto"/>
              <w:sz w:val="24"/>
              <w:szCs w:val="24"/>
            </w:rPr>
            <w:fldChar w:fldCharType="begin"/>
          </w:r>
          <w:r>
            <w:rPr>
              <w:color w:val="auto"/>
              <w:sz w:val="24"/>
              <w:szCs w:val="24"/>
            </w:rPr>
            <w:instrText xml:space="preserve"> PAGEREF _Toc40625155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"_Toc40625156" </w:instrText>
          </w:r>
          <w:r>
            <w:fldChar w:fldCharType="separate"/>
          </w:r>
          <w:r>
            <w:rPr>
              <w:rStyle w:val="28"/>
              <w:color w:val="auto"/>
              <w:sz w:val="24"/>
              <w:szCs w:val="24"/>
            </w:rPr>
            <w:t>1.4.1评估原则</w:t>
          </w:r>
          <w:r>
            <w:rPr>
              <w:color w:val="auto"/>
              <w:sz w:val="24"/>
              <w:szCs w:val="24"/>
            </w:rPr>
            <w:tab/>
          </w:r>
          <w:r>
            <w:rPr>
              <w:color w:val="auto"/>
              <w:sz w:val="24"/>
              <w:szCs w:val="24"/>
            </w:rPr>
            <w:fldChar w:fldCharType="begin"/>
          </w:r>
          <w:r>
            <w:rPr>
              <w:color w:val="auto"/>
              <w:sz w:val="24"/>
              <w:szCs w:val="24"/>
            </w:rPr>
            <w:instrText xml:space="preserve"> PAGEREF _Toc40625156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"_Toc40625157" </w:instrText>
          </w:r>
          <w:r>
            <w:fldChar w:fldCharType="separate"/>
          </w:r>
          <w:r>
            <w:rPr>
              <w:rStyle w:val="28"/>
              <w:color w:val="auto"/>
              <w:sz w:val="24"/>
              <w:szCs w:val="24"/>
            </w:rPr>
            <w:t>1.4.2评估目的</w:t>
          </w:r>
          <w:r>
            <w:rPr>
              <w:color w:val="auto"/>
              <w:sz w:val="24"/>
              <w:szCs w:val="24"/>
            </w:rPr>
            <w:tab/>
          </w:r>
          <w:r>
            <w:rPr>
              <w:color w:val="auto"/>
              <w:sz w:val="24"/>
              <w:szCs w:val="24"/>
            </w:rPr>
            <w:fldChar w:fldCharType="begin"/>
          </w:r>
          <w:r>
            <w:rPr>
              <w:color w:val="auto"/>
              <w:sz w:val="24"/>
              <w:szCs w:val="24"/>
            </w:rPr>
            <w:instrText xml:space="preserve"> PAGEREF _Toc40625157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"_Toc40625158" </w:instrText>
          </w:r>
          <w:r>
            <w:fldChar w:fldCharType="separate"/>
          </w:r>
          <w:r>
            <w:rPr>
              <w:rStyle w:val="28"/>
              <w:rFonts w:ascii="Times New Roman" w:hAnsi="Times New Roman"/>
              <w:color w:val="auto"/>
              <w:sz w:val="24"/>
              <w:szCs w:val="24"/>
            </w:rPr>
            <w:t>第二章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区域产业现状及发展规划</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_Toc40625158 \h </w:instrText>
          </w:r>
          <w:r>
            <w:rPr>
              <w:rFonts w:ascii="Times New Roman" w:hAnsi="Times New Roman"/>
              <w:color w:val="auto"/>
              <w:sz w:val="24"/>
              <w:szCs w:val="24"/>
            </w:rPr>
            <w:fldChar w:fldCharType="separate"/>
          </w:r>
          <w:r>
            <w:rPr>
              <w:rFonts w:ascii="Times New Roman" w:hAnsi="Times New Roman"/>
              <w:color w:val="auto"/>
              <w:sz w:val="24"/>
              <w:szCs w:val="24"/>
            </w:rPr>
            <w:t>9</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"_Toc40625159" </w:instrText>
          </w:r>
          <w:r>
            <w:fldChar w:fldCharType="separate"/>
          </w:r>
          <w:r>
            <w:rPr>
              <w:rStyle w:val="28"/>
              <w:color w:val="auto"/>
              <w:sz w:val="24"/>
              <w:szCs w:val="24"/>
            </w:rPr>
            <w:t>2.1区域产业发展现状</w:t>
          </w:r>
          <w:r>
            <w:rPr>
              <w:color w:val="auto"/>
              <w:sz w:val="24"/>
              <w:szCs w:val="24"/>
            </w:rPr>
            <w:tab/>
          </w:r>
          <w:r>
            <w:rPr>
              <w:color w:val="auto"/>
              <w:sz w:val="24"/>
              <w:szCs w:val="24"/>
            </w:rPr>
            <w:fldChar w:fldCharType="begin"/>
          </w:r>
          <w:r>
            <w:rPr>
              <w:color w:val="auto"/>
              <w:sz w:val="24"/>
              <w:szCs w:val="24"/>
            </w:rPr>
            <w:instrText xml:space="preserve"> PAGEREF _Toc40625159 \h </w:instrText>
          </w:r>
          <w:r>
            <w:rPr>
              <w:color w:val="auto"/>
              <w:sz w:val="24"/>
              <w:szCs w:val="24"/>
            </w:rPr>
            <w:fldChar w:fldCharType="separate"/>
          </w:r>
          <w:r>
            <w:rPr>
              <w:color w:val="auto"/>
              <w:sz w:val="24"/>
              <w:szCs w:val="24"/>
            </w:rPr>
            <w:t>9</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"_Toc40625160" </w:instrText>
          </w:r>
          <w:r>
            <w:fldChar w:fldCharType="separate"/>
          </w:r>
          <w:r>
            <w:rPr>
              <w:rStyle w:val="28"/>
              <w:color w:val="auto"/>
              <w:sz w:val="24"/>
              <w:szCs w:val="24"/>
            </w:rPr>
            <w:t>2.2区域产业发展规划</w:t>
          </w:r>
          <w:r>
            <w:rPr>
              <w:color w:val="auto"/>
              <w:sz w:val="24"/>
              <w:szCs w:val="24"/>
            </w:rPr>
            <w:tab/>
          </w:r>
          <w:r>
            <w:rPr>
              <w:color w:val="auto"/>
              <w:sz w:val="24"/>
              <w:szCs w:val="24"/>
            </w:rPr>
            <w:fldChar w:fldCharType="begin"/>
          </w:r>
          <w:r>
            <w:rPr>
              <w:color w:val="auto"/>
              <w:sz w:val="24"/>
              <w:szCs w:val="24"/>
            </w:rPr>
            <w:instrText xml:space="preserve"> PAGEREF _Toc40625160 \h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"_Toc40625161" </w:instrText>
          </w:r>
          <w:r>
            <w:fldChar w:fldCharType="separate"/>
          </w:r>
          <w:r>
            <w:rPr>
              <w:rStyle w:val="28"/>
              <w:color w:val="auto"/>
              <w:sz w:val="24"/>
              <w:szCs w:val="24"/>
            </w:rPr>
            <w:t>2.2.1空间布局规划</w:t>
          </w:r>
          <w:r>
            <w:rPr>
              <w:color w:val="auto"/>
              <w:sz w:val="24"/>
              <w:szCs w:val="24"/>
            </w:rPr>
            <w:tab/>
          </w:r>
          <w:r>
            <w:rPr>
              <w:color w:val="auto"/>
              <w:sz w:val="24"/>
              <w:szCs w:val="24"/>
            </w:rPr>
            <w:fldChar w:fldCharType="begin"/>
          </w:r>
          <w:r>
            <w:rPr>
              <w:color w:val="auto"/>
              <w:sz w:val="24"/>
              <w:szCs w:val="24"/>
            </w:rPr>
            <w:instrText xml:space="preserve"> PAGEREF _Toc40625161 \h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"_Toc40625162" </w:instrText>
          </w:r>
          <w:r>
            <w:fldChar w:fldCharType="separate"/>
          </w:r>
          <w:r>
            <w:rPr>
              <w:rStyle w:val="28"/>
              <w:color w:val="auto"/>
              <w:sz w:val="24"/>
              <w:szCs w:val="24"/>
            </w:rPr>
            <w:t>2.2.2产业体系规划</w:t>
          </w:r>
          <w:r>
            <w:rPr>
              <w:color w:val="auto"/>
              <w:sz w:val="24"/>
              <w:szCs w:val="24"/>
            </w:rPr>
            <w:tab/>
          </w:r>
          <w:r>
            <w:rPr>
              <w:color w:val="auto"/>
              <w:sz w:val="24"/>
              <w:szCs w:val="24"/>
            </w:rPr>
            <w:fldChar w:fldCharType="begin"/>
          </w:r>
          <w:r>
            <w:rPr>
              <w:color w:val="auto"/>
              <w:sz w:val="24"/>
              <w:szCs w:val="24"/>
            </w:rPr>
            <w:instrText xml:space="preserve"> PAGEREF _Toc40625162 \h </w:instrText>
          </w:r>
          <w:r>
            <w:rPr>
              <w:color w:val="auto"/>
              <w:sz w:val="24"/>
              <w:szCs w:val="24"/>
            </w:rPr>
            <w:fldChar w:fldCharType="separate"/>
          </w:r>
          <w:r>
            <w:rPr>
              <w:color w:val="auto"/>
              <w:sz w:val="24"/>
              <w:szCs w:val="24"/>
            </w:rPr>
            <w:t>14</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"_Toc40625163" </w:instrText>
          </w:r>
          <w:r>
            <w:fldChar w:fldCharType="separate"/>
          </w:r>
          <w:r>
            <w:rPr>
              <w:rStyle w:val="28"/>
              <w:rFonts w:ascii="Times New Roman" w:hAnsi="Times New Roman"/>
              <w:color w:val="auto"/>
              <w:sz w:val="24"/>
              <w:szCs w:val="24"/>
            </w:rPr>
            <w:t>第三章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区域能源供应现状及发展规划</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_Toc40625163 \h </w:instrText>
          </w:r>
          <w:r>
            <w:rPr>
              <w:rFonts w:ascii="Times New Roman" w:hAnsi="Times New Roman"/>
              <w:color w:val="auto"/>
              <w:sz w:val="24"/>
              <w:szCs w:val="24"/>
            </w:rPr>
            <w:fldChar w:fldCharType="separate"/>
          </w:r>
          <w:r>
            <w:rPr>
              <w:rFonts w:ascii="Times New Roman" w:hAnsi="Times New Roman"/>
              <w:color w:val="auto"/>
              <w:sz w:val="24"/>
              <w:szCs w:val="24"/>
            </w:rPr>
            <w:t>16</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"_Toc40625164" </w:instrText>
          </w:r>
          <w:r>
            <w:fldChar w:fldCharType="separate"/>
          </w:r>
          <w:r>
            <w:rPr>
              <w:rStyle w:val="28"/>
              <w:color w:val="auto"/>
              <w:sz w:val="24"/>
              <w:szCs w:val="24"/>
            </w:rPr>
            <w:t>3.1区域能源供应和使用情况</w:t>
          </w:r>
          <w:r>
            <w:rPr>
              <w:color w:val="auto"/>
              <w:sz w:val="24"/>
              <w:szCs w:val="24"/>
            </w:rPr>
            <w:tab/>
          </w:r>
          <w:r>
            <w:rPr>
              <w:color w:val="auto"/>
              <w:sz w:val="24"/>
              <w:szCs w:val="24"/>
            </w:rPr>
            <w:fldChar w:fldCharType="begin"/>
          </w:r>
          <w:r>
            <w:rPr>
              <w:color w:val="auto"/>
              <w:sz w:val="24"/>
              <w:szCs w:val="24"/>
            </w:rPr>
            <w:instrText xml:space="preserve"> PAGEREF _Toc40625164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"_Toc40625165" </w:instrText>
          </w:r>
          <w:r>
            <w:fldChar w:fldCharType="separate"/>
          </w:r>
          <w:r>
            <w:rPr>
              <w:rStyle w:val="28"/>
              <w:color w:val="auto"/>
              <w:sz w:val="24"/>
              <w:szCs w:val="24"/>
            </w:rPr>
            <w:t>3.1.1电力供应状况</w:t>
          </w:r>
          <w:r>
            <w:rPr>
              <w:color w:val="auto"/>
              <w:sz w:val="24"/>
              <w:szCs w:val="24"/>
            </w:rPr>
            <w:tab/>
          </w:r>
          <w:r>
            <w:rPr>
              <w:color w:val="auto"/>
              <w:sz w:val="24"/>
              <w:szCs w:val="24"/>
            </w:rPr>
            <w:fldChar w:fldCharType="begin"/>
          </w:r>
          <w:r>
            <w:rPr>
              <w:color w:val="auto"/>
              <w:sz w:val="24"/>
              <w:szCs w:val="24"/>
            </w:rPr>
            <w:instrText xml:space="preserve"> PAGEREF _Toc40625165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"_Toc40625166" </w:instrText>
          </w:r>
          <w:r>
            <w:fldChar w:fldCharType="separate"/>
          </w:r>
          <w:r>
            <w:rPr>
              <w:rStyle w:val="28"/>
              <w:color w:val="auto"/>
              <w:sz w:val="24"/>
              <w:szCs w:val="24"/>
            </w:rPr>
            <w:t>3.1.2天然气供应状况</w:t>
          </w:r>
          <w:r>
            <w:rPr>
              <w:color w:val="auto"/>
              <w:sz w:val="24"/>
              <w:szCs w:val="24"/>
            </w:rPr>
            <w:tab/>
          </w:r>
          <w:r>
            <w:rPr>
              <w:color w:val="auto"/>
              <w:sz w:val="24"/>
              <w:szCs w:val="24"/>
            </w:rPr>
            <w:fldChar w:fldCharType="begin"/>
          </w:r>
          <w:r>
            <w:rPr>
              <w:color w:val="auto"/>
              <w:sz w:val="24"/>
              <w:szCs w:val="24"/>
            </w:rPr>
            <w:instrText xml:space="preserve"> PAGEREF _Toc40625166 \h </w:instrText>
          </w:r>
          <w:r>
            <w:rPr>
              <w:color w:val="auto"/>
              <w:sz w:val="24"/>
              <w:szCs w:val="24"/>
            </w:rPr>
            <w:fldChar w:fldCharType="separate"/>
          </w:r>
          <w:r>
            <w:rPr>
              <w:color w:val="auto"/>
              <w:sz w:val="24"/>
              <w:szCs w:val="24"/>
            </w:rPr>
            <w:t>17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"_Toc40625167" </w:instrText>
          </w:r>
          <w:r>
            <w:fldChar w:fldCharType="separate"/>
          </w:r>
          <w:r>
            <w:rPr>
              <w:rStyle w:val="28"/>
              <w:color w:val="auto"/>
              <w:sz w:val="24"/>
              <w:szCs w:val="24"/>
            </w:rPr>
            <w:t>3.1.3自来水及工业水供应情况</w:t>
          </w:r>
          <w:r>
            <w:rPr>
              <w:color w:val="auto"/>
              <w:sz w:val="24"/>
              <w:szCs w:val="24"/>
            </w:rPr>
            <w:tab/>
          </w:r>
          <w:r>
            <w:rPr>
              <w:color w:val="auto"/>
              <w:sz w:val="24"/>
              <w:szCs w:val="24"/>
            </w:rPr>
            <w:fldChar w:fldCharType="begin"/>
          </w:r>
          <w:r>
            <w:rPr>
              <w:color w:val="auto"/>
              <w:sz w:val="24"/>
              <w:szCs w:val="24"/>
            </w:rPr>
            <w:instrText xml:space="preserve"> PAGEREF _Toc40625167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"_Toc40625168" </w:instrText>
          </w:r>
          <w:r>
            <w:fldChar w:fldCharType="separate"/>
          </w:r>
          <w:r>
            <w:rPr>
              <w:rStyle w:val="28"/>
              <w:color w:val="auto"/>
              <w:sz w:val="24"/>
              <w:szCs w:val="24"/>
            </w:rPr>
            <w:t>3.1.4热力供应情况</w:t>
          </w:r>
          <w:r>
            <w:rPr>
              <w:color w:val="auto"/>
              <w:sz w:val="24"/>
              <w:szCs w:val="24"/>
            </w:rPr>
            <w:tab/>
          </w:r>
          <w:r>
            <w:rPr>
              <w:color w:val="auto"/>
              <w:sz w:val="24"/>
              <w:szCs w:val="24"/>
            </w:rPr>
            <w:fldChar w:fldCharType="begin"/>
          </w:r>
          <w:r>
            <w:rPr>
              <w:color w:val="auto"/>
              <w:sz w:val="24"/>
              <w:szCs w:val="24"/>
            </w:rPr>
            <w:instrText xml:space="preserve"> PAGEREF _Toc40625168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"_Toc40625169" </w:instrText>
          </w:r>
          <w:r>
            <w:fldChar w:fldCharType="separate"/>
          </w:r>
          <w:r>
            <w:rPr>
              <w:rStyle w:val="28"/>
              <w:color w:val="auto"/>
              <w:sz w:val="24"/>
              <w:szCs w:val="24"/>
            </w:rPr>
            <w:t>3.2区域能源发展规划</w:t>
          </w:r>
          <w:r>
            <w:rPr>
              <w:color w:val="auto"/>
              <w:sz w:val="24"/>
              <w:szCs w:val="24"/>
            </w:rPr>
            <w:tab/>
          </w:r>
          <w:r>
            <w:rPr>
              <w:color w:val="auto"/>
              <w:sz w:val="24"/>
              <w:szCs w:val="24"/>
            </w:rPr>
            <w:fldChar w:fldCharType="begin"/>
          </w:r>
          <w:r>
            <w:rPr>
              <w:color w:val="auto"/>
              <w:sz w:val="24"/>
              <w:szCs w:val="24"/>
            </w:rPr>
            <w:instrText xml:space="preserve"> PAGEREF _Toc40625169 \h </w:instrText>
          </w:r>
          <w:r>
            <w:rPr>
              <w:color w:val="auto"/>
              <w:sz w:val="24"/>
              <w:szCs w:val="24"/>
            </w:rPr>
            <w:fldChar w:fldCharType="separate"/>
          </w:r>
          <w:r>
            <w:rPr>
              <w:color w:val="auto"/>
              <w:sz w:val="24"/>
              <w:szCs w:val="24"/>
            </w:rPr>
            <w:t>20</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"_Toc40625170" </w:instrText>
          </w:r>
          <w:r>
            <w:fldChar w:fldCharType="separate"/>
          </w:r>
          <w:r>
            <w:rPr>
              <w:rStyle w:val="28"/>
              <w:color w:val="auto"/>
              <w:sz w:val="24"/>
              <w:szCs w:val="24"/>
            </w:rPr>
            <w:t>3.2.1电力发展规划</w:t>
          </w:r>
          <w:r>
            <w:rPr>
              <w:color w:val="auto"/>
              <w:sz w:val="24"/>
              <w:szCs w:val="24"/>
            </w:rPr>
            <w:tab/>
          </w:r>
          <w:r>
            <w:rPr>
              <w:color w:val="auto"/>
              <w:sz w:val="24"/>
              <w:szCs w:val="24"/>
            </w:rPr>
            <w:fldChar w:fldCharType="begin"/>
          </w:r>
          <w:r>
            <w:rPr>
              <w:color w:val="auto"/>
              <w:sz w:val="24"/>
              <w:szCs w:val="24"/>
            </w:rPr>
            <w:instrText xml:space="preserve"> PAGEREF _Toc40625170 \h </w:instrText>
          </w:r>
          <w:r>
            <w:rPr>
              <w:color w:val="auto"/>
              <w:sz w:val="24"/>
              <w:szCs w:val="24"/>
            </w:rPr>
            <w:fldChar w:fldCharType="separate"/>
          </w:r>
          <w:r>
            <w:rPr>
              <w:color w:val="auto"/>
              <w:sz w:val="24"/>
              <w:szCs w:val="24"/>
            </w:rPr>
            <w:t>20</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"_Toc40625171" </w:instrText>
          </w:r>
          <w:r>
            <w:fldChar w:fldCharType="separate"/>
          </w:r>
          <w:r>
            <w:rPr>
              <w:rStyle w:val="28"/>
              <w:color w:val="auto"/>
              <w:sz w:val="24"/>
              <w:szCs w:val="24"/>
            </w:rPr>
            <w:t>3.2.2天然气发展规划</w:t>
          </w:r>
          <w:r>
            <w:rPr>
              <w:color w:val="auto"/>
              <w:sz w:val="24"/>
              <w:szCs w:val="24"/>
            </w:rPr>
            <w:tab/>
          </w:r>
          <w:r>
            <w:rPr>
              <w:color w:val="auto"/>
              <w:sz w:val="24"/>
              <w:szCs w:val="24"/>
            </w:rPr>
            <w:fldChar w:fldCharType="begin"/>
          </w:r>
          <w:r>
            <w:rPr>
              <w:color w:val="auto"/>
              <w:sz w:val="24"/>
              <w:szCs w:val="24"/>
            </w:rPr>
            <w:instrText xml:space="preserve"> PAGEREF _Toc40625171 \h </w:instrText>
          </w:r>
          <w:r>
            <w:rPr>
              <w:color w:val="auto"/>
              <w:sz w:val="24"/>
              <w:szCs w:val="24"/>
            </w:rPr>
            <w:fldChar w:fldCharType="separate"/>
          </w:r>
          <w:r>
            <w:rPr>
              <w:color w:val="auto"/>
              <w:sz w:val="24"/>
              <w:szCs w:val="24"/>
            </w:rPr>
            <w:t>22</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"_Toc40625172" </w:instrText>
          </w:r>
          <w:r>
            <w:fldChar w:fldCharType="separate"/>
          </w:r>
          <w:r>
            <w:rPr>
              <w:rStyle w:val="28"/>
              <w:color w:val="auto"/>
              <w:sz w:val="24"/>
              <w:szCs w:val="24"/>
            </w:rPr>
            <w:t>3.2.3自来水及工业水发展规划</w:t>
          </w:r>
          <w:r>
            <w:rPr>
              <w:color w:val="auto"/>
              <w:sz w:val="24"/>
              <w:szCs w:val="24"/>
            </w:rPr>
            <w:tab/>
          </w:r>
          <w:r>
            <w:rPr>
              <w:color w:val="auto"/>
              <w:sz w:val="24"/>
              <w:szCs w:val="24"/>
            </w:rPr>
            <w:fldChar w:fldCharType="begin"/>
          </w:r>
          <w:r>
            <w:rPr>
              <w:color w:val="auto"/>
              <w:sz w:val="24"/>
              <w:szCs w:val="24"/>
            </w:rPr>
            <w:instrText xml:space="preserve"> PAGEREF _Toc40625172 \h </w:instrText>
          </w:r>
          <w:r>
            <w:rPr>
              <w:color w:val="auto"/>
              <w:sz w:val="24"/>
              <w:szCs w:val="24"/>
            </w:rPr>
            <w:fldChar w:fldCharType="separate"/>
          </w:r>
          <w:r>
            <w:rPr>
              <w:color w:val="auto"/>
              <w:sz w:val="24"/>
              <w:szCs w:val="24"/>
            </w:rPr>
            <w:t>22</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"_Toc40625173" </w:instrText>
          </w:r>
          <w:r>
            <w:fldChar w:fldCharType="separate"/>
          </w:r>
          <w:r>
            <w:rPr>
              <w:rStyle w:val="28"/>
              <w:color w:val="auto"/>
              <w:sz w:val="24"/>
              <w:szCs w:val="24"/>
            </w:rPr>
            <w:t>3.2.4热力发展规划</w:t>
          </w:r>
          <w:r>
            <w:rPr>
              <w:color w:val="auto"/>
              <w:sz w:val="24"/>
              <w:szCs w:val="24"/>
            </w:rPr>
            <w:tab/>
          </w:r>
          <w:r>
            <w:rPr>
              <w:color w:val="auto"/>
              <w:sz w:val="24"/>
              <w:szCs w:val="24"/>
            </w:rPr>
            <w:fldChar w:fldCharType="begin"/>
          </w:r>
          <w:r>
            <w:rPr>
              <w:color w:val="auto"/>
              <w:sz w:val="24"/>
              <w:szCs w:val="24"/>
            </w:rPr>
            <w:instrText xml:space="preserve"> PAGEREF _Toc40625173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"_Toc40625174" </w:instrText>
          </w:r>
          <w:r>
            <w:fldChar w:fldCharType="separate"/>
          </w:r>
          <w:r>
            <w:rPr>
              <w:rStyle w:val="28"/>
              <w:rFonts w:ascii="Times New Roman" w:hAnsi="Times New Roman"/>
              <w:color w:val="auto"/>
              <w:sz w:val="24"/>
              <w:szCs w:val="24"/>
            </w:rPr>
            <w:t>第四章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区域用能预测及总量控制分析</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_Toc40625174 \h </w:instrText>
          </w:r>
          <w:r>
            <w:rPr>
              <w:rFonts w:ascii="Times New Roman" w:hAnsi="Times New Roman"/>
              <w:color w:val="auto"/>
              <w:sz w:val="24"/>
              <w:szCs w:val="24"/>
            </w:rPr>
            <w:fldChar w:fldCharType="separate"/>
          </w:r>
          <w:r>
            <w:rPr>
              <w:rFonts w:ascii="Times New Roman" w:hAnsi="Times New Roman"/>
              <w:color w:val="auto"/>
              <w:sz w:val="24"/>
              <w:szCs w:val="24"/>
            </w:rPr>
            <w:t>24</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"_Toc40625175" </w:instrText>
          </w:r>
          <w:r>
            <w:fldChar w:fldCharType="separate"/>
          </w:r>
          <w:r>
            <w:rPr>
              <w:rStyle w:val="28"/>
              <w:color w:val="auto"/>
              <w:sz w:val="24"/>
              <w:szCs w:val="24"/>
            </w:rPr>
            <w:t>4.1区域能源“双控”目标完成情况</w:t>
          </w:r>
          <w:r>
            <w:rPr>
              <w:color w:val="auto"/>
              <w:sz w:val="24"/>
              <w:szCs w:val="24"/>
            </w:rPr>
            <w:tab/>
          </w:r>
          <w:r>
            <w:rPr>
              <w:color w:val="auto"/>
              <w:sz w:val="24"/>
              <w:szCs w:val="24"/>
            </w:rPr>
            <w:fldChar w:fldCharType="begin"/>
          </w:r>
          <w:r>
            <w:rPr>
              <w:color w:val="auto"/>
              <w:sz w:val="24"/>
              <w:szCs w:val="24"/>
            </w:rPr>
            <w:instrText xml:space="preserve"> PAGEREF _Toc40625175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"_Toc40625176" </w:instrText>
          </w:r>
          <w:r>
            <w:fldChar w:fldCharType="separate"/>
          </w:r>
          <w:r>
            <w:rPr>
              <w:rStyle w:val="28"/>
              <w:color w:val="auto"/>
              <w:sz w:val="24"/>
              <w:szCs w:val="24"/>
            </w:rPr>
            <w:t>4.2区域能源“双控”指标确定</w:t>
          </w:r>
          <w:r>
            <w:rPr>
              <w:color w:val="auto"/>
              <w:sz w:val="24"/>
              <w:szCs w:val="24"/>
            </w:rPr>
            <w:tab/>
          </w:r>
          <w:r>
            <w:rPr>
              <w:color w:val="auto"/>
              <w:sz w:val="24"/>
              <w:szCs w:val="24"/>
            </w:rPr>
            <w:fldChar w:fldCharType="begin"/>
          </w:r>
          <w:r>
            <w:rPr>
              <w:color w:val="auto"/>
              <w:sz w:val="24"/>
              <w:szCs w:val="24"/>
            </w:rPr>
            <w:instrText xml:space="preserve"> PAGEREF _Toc40625176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"_Toc40625177" </w:instrText>
          </w:r>
          <w:r>
            <w:fldChar w:fldCharType="separate"/>
          </w:r>
          <w:r>
            <w:rPr>
              <w:rStyle w:val="28"/>
              <w:rFonts w:ascii="Times New Roman" w:hAnsi="Times New Roman"/>
              <w:color w:val="auto"/>
              <w:sz w:val="24"/>
              <w:szCs w:val="24"/>
            </w:rPr>
            <w:t>第五章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区域能效指标</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_Toc40625177 \h </w:instrText>
          </w:r>
          <w:r>
            <w:rPr>
              <w:rFonts w:ascii="Times New Roman" w:hAnsi="Times New Roman"/>
              <w:color w:val="auto"/>
              <w:sz w:val="24"/>
              <w:szCs w:val="24"/>
            </w:rPr>
            <w:fldChar w:fldCharType="separate"/>
          </w:r>
          <w:r>
            <w:rPr>
              <w:rFonts w:ascii="Times New Roman" w:hAnsi="Times New Roman"/>
              <w:color w:val="auto"/>
              <w:sz w:val="24"/>
              <w:szCs w:val="24"/>
            </w:rPr>
            <w:t>27</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"_Toc40625178" </w:instrText>
          </w:r>
          <w:r>
            <w:fldChar w:fldCharType="separate"/>
          </w:r>
          <w:r>
            <w:rPr>
              <w:rStyle w:val="28"/>
              <w:color w:val="auto"/>
              <w:sz w:val="24"/>
              <w:szCs w:val="24"/>
            </w:rPr>
            <w:t>5.1区域主要行业经济能效指标评价</w:t>
          </w:r>
          <w:r>
            <w:rPr>
              <w:color w:val="auto"/>
              <w:sz w:val="24"/>
              <w:szCs w:val="24"/>
            </w:rPr>
            <w:tab/>
          </w:r>
          <w:r>
            <w:rPr>
              <w:color w:val="auto"/>
              <w:sz w:val="24"/>
              <w:szCs w:val="24"/>
            </w:rPr>
            <w:fldChar w:fldCharType="begin"/>
          </w:r>
          <w:r>
            <w:rPr>
              <w:color w:val="auto"/>
              <w:sz w:val="24"/>
              <w:szCs w:val="24"/>
            </w:rPr>
            <w:instrText xml:space="preserve"> PAGEREF _Toc40625178 \h </w:instrText>
          </w:r>
          <w:r>
            <w:rPr>
              <w:color w:val="auto"/>
              <w:sz w:val="24"/>
              <w:szCs w:val="24"/>
            </w:rPr>
            <w:fldChar w:fldCharType="separate"/>
          </w:r>
          <w:r>
            <w:rPr>
              <w:color w:val="auto"/>
              <w:sz w:val="24"/>
              <w:szCs w:val="24"/>
            </w:rPr>
            <w:t>27</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"_Toc40625179" </w:instrText>
          </w:r>
          <w:r>
            <w:fldChar w:fldCharType="separate"/>
          </w:r>
          <w:r>
            <w:rPr>
              <w:rStyle w:val="28"/>
              <w:color w:val="auto"/>
              <w:sz w:val="24"/>
              <w:szCs w:val="24"/>
            </w:rPr>
            <w:t>5.2区域主要行业物理能效指标评价</w:t>
          </w:r>
          <w:r>
            <w:rPr>
              <w:color w:val="auto"/>
              <w:sz w:val="24"/>
              <w:szCs w:val="24"/>
            </w:rPr>
            <w:tab/>
          </w:r>
          <w:r>
            <w:rPr>
              <w:color w:val="auto"/>
              <w:sz w:val="24"/>
              <w:szCs w:val="24"/>
            </w:rPr>
            <w:fldChar w:fldCharType="begin"/>
          </w:r>
          <w:r>
            <w:rPr>
              <w:color w:val="auto"/>
              <w:sz w:val="24"/>
              <w:szCs w:val="24"/>
            </w:rPr>
            <w:instrText xml:space="preserve"> PAGEREF _Toc40625179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"_Toc40625180" </w:instrText>
          </w:r>
          <w:r>
            <w:fldChar w:fldCharType="separate"/>
          </w:r>
          <w:r>
            <w:rPr>
              <w:rStyle w:val="28"/>
              <w:color w:val="auto"/>
              <w:sz w:val="24"/>
              <w:szCs w:val="24"/>
            </w:rPr>
            <w:t>5.2.1玻璃制造</w:t>
          </w:r>
          <w:r>
            <w:rPr>
              <w:color w:val="auto"/>
              <w:sz w:val="24"/>
              <w:szCs w:val="24"/>
            </w:rPr>
            <w:tab/>
          </w:r>
          <w:r>
            <w:rPr>
              <w:color w:val="auto"/>
              <w:sz w:val="24"/>
              <w:szCs w:val="24"/>
            </w:rPr>
            <w:fldChar w:fldCharType="begin"/>
          </w:r>
          <w:r>
            <w:rPr>
              <w:color w:val="auto"/>
              <w:sz w:val="24"/>
              <w:szCs w:val="24"/>
            </w:rPr>
            <w:instrText xml:space="preserve"> PAGEREF _Toc40625180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"_Toc40625181" </w:instrText>
          </w:r>
          <w:r>
            <w:fldChar w:fldCharType="separate"/>
          </w:r>
          <w:r>
            <w:rPr>
              <w:rStyle w:val="28"/>
              <w:color w:val="auto"/>
              <w:sz w:val="24"/>
              <w:szCs w:val="24"/>
            </w:rPr>
            <w:t>5.2.2饮料制造</w:t>
          </w:r>
          <w:r>
            <w:rPr>
              <w:color w:val="auto"/>
              <w:sz w:val="24"/>
              <w:szCs w:val="24"/>
            </w:rPr>
            <w:tab/>
          </w:r>
          <w:r>
            <w:rPr>
              <w:color w:val="auto"/>
              <w:sz w:val="24"/>
              <w:szCs w:val="24"/>
            </w:rPr>
            <w:fldChar w:fldCharType="begin"/>
          </w:r>
          <w:r>
            <w:rPr>
              <w:color w:val="auto"/>
              <w:sz w:val="24"/>
              <w:szCs w:val="24"/>
            </w:rPr>
            <w:instrText xml:space="preserve"> PAGEREF _Toc40625181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"_Toc40625182" </w:instrText>
          </w:r>
          <w:r>
            <w:fldChar w:fldCharType="separate"/>
          </w:r>
          <w:r>
            <w:rPr>
              <w:rStyle w:val="28"/>
              <w:color w:val="auto"/>
              <w:sz w:val="24"/>
              <w:szCs w:val="24"/>
            </w:rPr>
            <w:t>5.2.3其它行业</w:t>
          </w:r>
          <w:r>
            <w:rPr>
              <w:color w:val="auto"/>
              <w:sz w:val="24"/>
              <w:szCs w:val="24"/>
            </w:rPr>
            <w:tab/>
          </w:r>
          <w:r>
            <w:rPr>
              <w:color w:val="auto"/>
              <w:sz w:val="24"/>
              <w:szCs w:val="24"/>
            </w:rPr>
            <w:fldChar w:fldCharType="begin"/>
          </w:r>
          <w:r>
            <w:rPr>
              <w:color w:val="auto"/>
              <w:sz w:val="24"/>
              <w:szCs w:val="24"/>
            </w:rPr>
            <w:instrText xml:space="preserve"> PAGEREF _Toc40625182 \h </w:instrText>
          </w:r>
          <w:r>
            <w:rPr>
              <w:color w:val="auto"/>
              <w:sz w:val="24"/>
              <w:szCs w:val="24"/>
            </w:rPr>
            <w:fldChar w:fldCharType="separate"/>
          </w:r>
          <w:r>
            <w:rPr>
              <w:color w:val="auto"/>
              <w:sz w:val="24"/>
              <w:szCs w:val="24"/>
            </w:rPr>
            <w:t>43</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"_Toc40625183" </w:instrText>
          </w:r>
          <w:r>
            <w:fldChar w:fldCharType="separate"/>
          </w:r>
          <w:r>
            <w:rPr>
              <w:rStyle w:val="28"/>
              <w:color w:val="auto"/>
              <w:sz w:val="24"/>
              <w:szCs w:val="24"/>
            </w:rPr>
            <w:t>5.3区域主要企业用能分析</w:t>
          </w:r>
          <w:r>
            <w:rPr>
              <w:color w:val="auto"/>
              <w:sz w:val="24"/>
              <w:szCs w:val="24"/>
            </w:rPr>
            <w:tab/>
          </w:r>
          <w:r>
            <w:rPr>
              <w:color w:val="auto"/>
              <w:sz w:val="24"/>
              <w:szCs w:val="24"/>
            </w:rPr>
            <w:fldChar w:fldCharType="begin"/>
          </w:r>
          <w:r>
            <w:rPr>
              <w:color w:val="auto"/>
              <w:sz w:val="24"/>
              <w:szCs w:val="24"/>
            </w:rPr>
            <w:instrText xml:space="preserve"> PAGEREF _Toc40625183 \h </w:instrText>
          </w:r>
          <w:r>
            <w:rPr>
              <w:color w:val="auto"/>
              <w:sz w:val="24"/>
              <w:szCs w:val="24"/>
            </w:rPr>
            <w:fldChar w:fldCharType="separate"/>
          </w:r>
          <w:r>
            <w:rPr>
              <w:color w:val="auto"/>
              <w:sz w:val="24"/>
              <w:szCs w:val="24"/>
            </w:rPr>
            <w:t>44</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"_Toc40625184" </w:instrText>
          </w:r>
          <w:r>
            <w:fldChar w:fldCharType="separate"/>
          </w:r>
          <w:r>
            <w:rPr>
              <w:rStyle w:val="28"/>
              <w:color w:val="auto"/>
              <w:sz w:val="24"/>
              <w:szCs w:val="24"/>
            </w:rPr>
            <w:t>5.3.1咸宁南玻玻璃有限公司</w:t>
          </w:r>
          <w:r>
            <w:rPr>
              <w:color w:val="auto"/>
              <w:sz w:val="24"/>
              <w:szCs w:val="24"/>
            </w:rPr>
            <w:tab/>
          </w:r>
          <w:r>
            <w:rPr>
              <w:color w:val="auto"/>
              <w:sz w:val="24"/>
              <w:szCs w:val="24"/>
            </w:rPr>
            <w:fldChar w:fldCharType="begin"/>
          </w:r>
          <w:r>
            <w:rPr>
              <w:color w:val="auto"/>
              <w:sz w:val="24"/>
              <w:szCs w:val="24"/>
            </w:rPr>
            <w:instrText xml:space="preserve"> PAGEREF _Toc40625184 \h </w:instrText>
          </w:r>
          <w:r>
            <w:rPr>
              <w:color w:val="auto"/>
              <w:sz w:val="24"/>
              <w:szCs w:val="24"/>
            </w:rPr>
            <w:fldChar w:fldCharType="separate"/>
          </w:r>
          <w:r>
            <w:rPr>
              <w:color w:val="auto"/>
              <w:sz w:val="24"/>
              <w:szCs w:val="24"/>
            </w:rPr>
            <w:t>46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"_Toc40625185" </w:instrText>
          </w:r>
          <w:r>
            <w:fldChar w:fldCharType="separate"/>
          </w:r>
          <w:r>
            <w:rPr>
              <w:rStyle w:val="28"/>
              <w:color w:val="auto"/>
              <w:sz w:val="24"/>
              <w:szCs w:val="24"/>
            </w:rPr>
            <w:t>5.3.2咸宁南玻光电玻璃有限公司</w:t>
          </w:r>
          <w:r>
            <w:rPr>
              <w:color w:val="auto"/>
              <w:sz w:val="24"/>
              <w:szCs w:val="24"/>
            </w:rPr>
            <w:tab/>
          </w:r>
          <w:r>
            <w:rPr>
              <w:color w:val="auto"/>
              <w:sz w:val="24"/>
              <w:szCs w:val="24"/>
            </w:rPr>
            <w:fldChar w:fldCharType="begin"/>
          </w:r>
          <w:r>
            <w:rPr>
              <w:color w:val="auto"/>
              <w:sz w:val="24"/>
              <w:szCs w:val="24"/>
            </w:rPr>
            <w:instrText xml:space="preserve"> PAGEREF _Toc40625185 \h </w:instrText>
          </w:r>
          <w:r>
            <w:rPr>
              <w:color w:val="auto"/>
              <w:sz w:val="24"/>
              <w:szCs w:val="24"/>
            </w:rPr>
            <w:fldChar w:fldCharType="separate"/>
          </w:r>
          <w:r>
            <w:rPr>
              <w:color w:val="auto"/>
              <w:sz w:val="24"/>
              <w:szCs w:val="24"/>
            </w:rPr>
            <w:t>47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"_Toc40625186" </w:instrText>
          </w:r>
          <w:r>
            <w:fldChar w:fldCharType="separate"/>
          </w:r>
          <w:r>
            <w:rPr>
              <w:rStyle w:val="28"/>
              <w:color w:val="auto"/>
              <w:sz w:val="24"/>
              <w:szCs w:val="24"/>
            </w:rPr>
            <w:t>5.5.3咸宁南玻节能玻璃有限公司</w:t>
          </w:r>
          <w:r>
            <w:rPr>
              <w:color w:val="auto"/>
              <w:sz w:val="24"/>
              <w:szCs w:val="24"/>
            </w:rPr>
            <w:tab/>
          </w:r>
          <w:r>
            <w:rPr>
              <w:color w:val="auto"/>
              <w:sz w:val="24"/>
              <w:szCs w:val="24"/>
            </w:rPr>
            <w:fldChar w:fldCharType="begin"/>
          </w:r>
          <w:r>
            <w:rPr>
              <w:color w:val="auto"/>
              <w:sz w:val="24"/>
              <w:szCs w:val="24"/>
            </w:rPr>
            <w:instrText xml:space="preserve"> PAGEREF _Toc40625186 \h </w:instrText>
          </w:r>
          <w:r>
            <w:rPr>
              <w:color w:val="auto"/>
              <w:sz w:val="24"/>
              <w:szCs w:val="24"/>
            </w:rPr>
            <w:fldChar w:fldCharType="separate"/>
          </w:r>
          <w:r>
            <w:rPr>
              <w:color w:val="auto"/>
              <w:sz w:val="24"/>
              <w:szCs w:val="24"/>
            </w:rPr>
            <w:t>49</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"_Toc40625187" </w:instrText>
          </w:r>
          <w:r>
            <w:fldChar w:fldCharType="separate"/>
          </w:r>
          <w:r>
            <w:rPr>
              <w:rStyle w:val="28"/>
              <w:color w:val="auto"/>
              <w:sz w:val="24"/>
              <w:szCs w:val="24"/>
            </w:rPr>
            <w:t>5.5.4红牛维他命饮料（湖北）有限公司</w:t>
          </w:r>
          <w:r>
            <w:rPr>
              <w:color w:val="auto"/>
              <w:sz w:val="24"/>
              <w:szCs w:val="24"/>
            </w:rPr>
            <w:tab/>
          </w:r>
          <w:r>
            <w:rPr>
              <w:color w:val="auto"/>
              <w:sz w:val="24"/>
              <w:szCs w:val="24"/>
            </w:rPr>
            <w:fldChar w:fldCharType="begin"/>
          </w:r>
          <w:r>
            <w:rPr>
              <w:color w:val="auto"/>
              <w:sz w:val="24"/>
              <w:szCs w:val="24"/>
            </w:rPr>
            <w:instrText xml:space="preserve"> PAGEREF _Toc40625187 \h </w:instrText>
          </w:r>
          <w:r>
            <w:rPr>
              <w:color w:val="auto"/>
              <w:sz w:val="24"/>
              <w:szCs w:val="24"/>
            </w:rPr>
            <w:fldChar w:fldCharType="separate"/>
          </w:r>
          <w:r>
            <w:rPr>
              <w:color w:val="auto"/>
              <w:sz w:val="24"/>
              <w:szCs w:val="24"/>
            </w:rPr>
            <w:t>50</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"_Toc40625188" </w:instrText>
          </w:r>
          <w:r>
            <w:fldChar w:fldCharType="separate"/>
          </w:r>
          <w:r>
            <w:rPr>
              <w:rStyle w:val="28"/>
              <w:color w:val="auto"/>
              <w:sz w:val="24"/>
              <w:szCs w:val="24"/>
            </w:rPr>
            <w:t>5.5.5湖北奥瑞金饮料工业有限公司</w:t>
          </w:r>
          <w:r>
            <w:rPr>
              <w:color w:val="auto"/>
              <w:sz w:val="24"/>
              <w:szCs w:val="24"/>
            </w:rPr>
            <w:tab/>
          </w:r>
          <w:r>
            <w:rPr>
              <w:color w:val="auto"/>
              <w:sz w:val="24"/>
              <w:szCs w:val="24"/>
            </w:rPr>
            <w:fldChar w:fldCharType="begin"/>
          </w:r>
          <w:r>
            <w:rPr>
              <w:color w:val="auto"/>
              <w:sz w:val="24"/>
              <w:szCs w:val="24"/>
            </w:rPr>
            <w:instrText xml:space="preserve"> PAGEREF _Toc40625188 \h </w:instrText>
          </w:r>
          <w:r>
            <w:rPr>
              <w:color w:val="auto"/>
              <w:sz w:val="24"/>
              <w:szCs w:val="24"/>
            </w:rPr>
            <w:fldChar w:fldCharType="separate"/>
          </w:r>
          <w:r>
            <w:rPr>
              <w:color w:val="auto"/>
              <w:sz w:val="24"/>
              <w:szCs w:val="24"/>
            </w:rPr>
            <w:t>51</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"_Toc40625189" </w:instrText>
          </w:r>
          <w:r>
            <w:fldChar w:fldCharType="separate"/>
          </w:r>
          <w:r>
            <w:rPr>
              <w:rStyle w:val="28"/>
              <w:color w:val="auto"/>
              <w:sz w:val="24"/>
              <w:szCs w:val="24"/>
            </w:rPr>
            <w:t>5.5.6今麦郎饮品（咸宁）有限公司</w:t>
          </w:r>
          <w:r>
            <w:rPr>
              <w:color w:val="auto"/>
              <w:sz w:val="24"/>
              <w:szCs w:val="24"/>
            </w:rPr>
            <w:tab/>
          </w:r>
          <w:r>
            <w:rPr>
              <w:color w:val="auto"/>
              <w:sz w:val="24"/>
              <w:szCs w:val="24"/>
            </w:rPr>
            <w:fldChar w:fldCharType="begin"/>
          </w:r>
          <w:r>
            <w:rPr>
              <w:color w:val="auto"/>
              <w:sz w:val="24"/>
              <w:szCs w:val="24"/>
            </w:rPr>
            <w:instrText xml:space="preserve"> PAGEREF _Toc40625189 \h </w:instrText>
          </w:r>
          <w:r>
            <w:rPr>
              <w:color w:val="auto"/>
              <w:sz w:val="24"/>
              <w:szCs w:val="24"/>
            </w:rPr>
            <w:fldChar w:fldCharType="separate"/>
          </w:r>
          <w:r>
            <w:rPr>
              <w:color w:val="auto"/>
              <w:sz w:val="24"/>
              <w:szCs w:val="24"/>
            </w:rPr>
            <w:t>52</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"_Toc40625190" </w:instrText>
          </w:r>
          <w:r>
            <w:fldChar w:fldCharType="separate"/>
          </w:r>
          <w:r>
            <w:rPr>
              <w:rStyle w:val="28"/>
              <w:color w:val="auto"/>
              <w:sz w:val="24"/>
              <w:szCs w:val="24"/>
            </w:rPr>
            <w:t>5.5.7湖北恒丰纸业有限公司</w:t>
          </w:r>
          <w:r>
            <w:rPr>
              <w:color w:val="auto"/>
              <w:sz w:val="24"/>
              <w:szCs w:val="24"/>
            </w:rPr>
            <w:tab/>
          </w:r>
          <w:r>
            <w:rPr>
              <w:color w:val="auto"/>
              <w:sz w:val="24"/>
              <w:szCs w:val="24"/>
            </w:rPr>
            <w:fldChar w:fldCharType="begin"/>
          </w:r>
          <w:r>
            <w:rPr>
              <w:color w:val="auto"/>
              <w:sz w:val="24"/>
              <w:szCs w:val="24"/>
            </w:rPr>
            <w:instrText xml:space="preserve"> PAGEREF _Toc40625190 \h </w:instrText>
          </w:r>
          <w:r>
            <w:rPr>
              <w:color w:val="auto"/>
              <w:sz w:val="24"/>
              <w:szCs w:val="24"/>
            </w:rPr>
            <w:fldChar w:fldCharType="separate"/>
          </w:r>
          <w:r>
            <w:rPr>
              <w:color w:val="auto"/>
              <w:sz w:val="24"/>
              <w:szCs w:val="24"/>
            </w:rPr>
            <w:t>53</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"_Toc40625191" </w:instrText>
          </w:r>
          <w:r>
            <w:fldChar w:fldCharType="separate"/>
          </w:r>
          <w:r>
            <w:rPr>
              <w:rStyle w:val="28"/>
              <w:color w:val="auto"/>
              <w:sz w:val="24"/>
              <w:szCs w:val="24"/>
            </w:rPr>
            <w:t>5.5.8湖北天化麻业股份有限公司</w:t>
          </w:r>
          <w:r>
            <w:rPr>
              <w:color w:val="auto"/>
              <w:sz w:val="24"/>
              <w:szCs w:val="24"/>
            </w:rPr>
            <w:tab/>
          </w:r>
          <w:r>
            <w:rPr>
              <w:color w:val="auto"/>
              <w:sz w:val="24"/>
              <w:szCs w:val="24"/>
            </w:rPr>
            <w:fldChar w:fldCharType="begin"/>
          </w:r>
          <w:r>
            <w:rPr>
              <w:color w:val="auto"/>
              <w:sz w:val="24"/>
              <w:szCs w:val="24"/>
            </w:rPr>
            <w:instrText xml:space="preserve"> PAGEREF _Toc40625191 \h </w:instrText>
          </w:r>
          <w:r>
            <w:rPr>
              <w:color w:val="auto"/>
              <w:sz w:val="24"/>
              <w:szCs w:val="24"/>
            </w:rPr>
            <w:fldChar w:fldCharType="separate"/>
          </w:r>
          <w:r>
            <w:rPr>
              <w:color w:val="auto"/>
              <w:sz w:val="24"/>
              <w:szCs w:val="24"/>
            </w:rPr>
            <w:t>54</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"_Toc40625192" </w:instrText>
          </w:r>
          <w:r>
            <w:fldChar w:fldCharType="separate"/>
          </w:r>
          <w:r>
            <w:rPr>
              <w:rStyle w:val="28"/>
              <w:rFonts w:ascii="Times New Roman" w:hAnsi="Times New Roman"/>
              <w:color w:val="auto"/>
              <w:sz w:val="24"/>
              <w:szCs w:val="24"/>
            </w:rPr>
            <w:t>第六章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区域行业类别界定及负面清单</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_Toc40625192 \h </w:instrText>
          </w:r>
          <w:r>
            <w:rPr>
              <w:rFonts w:ascii="Times New Roman" w:hAnsi="Times New Roman"/>
              <w:color w:val="auto"/>
              <w:sz w:val="24"/>
              <w:szCs w:val="24"/>
            </w:rPr>
            <w:fldChar w:fldCharType="separate"/>
          </w:r>
          <w:r>
            <w:rPr>
              <w:rFonts w:ascii="Times New Roman" w:hAnsi="Times New Roman"/>
              <w:color w:val="auto"/>
              <w:sz w:val="24"/>
              <w:szCs w:val="24"/>
            </w:rPr>
            <w:t>56</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"_Toc40625193" </w:instrText>
          </w:r>
          <w:r>
            <w:fldChar w:fldCharType="separate"/>
          </w:r>
          <w:r>
            <w:rPr>
              <w:rStyle w:val="28"/>
              <w:color w:val="auto"/>
              <w:sz w:val="24"/>
              <w:szCs w:val="24"/>
            </w:rPr>
            <w:t>6.1区域内行业类型的划分</w:t>
          </w:r>
          <w:r>
            <w:rPr>
              <w:color w:val="auto"/>
              <w:sz w:val="24"/>
              <w:szCs w:val="24"/>
            </w:rPr>
            <w:tab/>
          </w:r>
          <w:r>
            <w:rPr>
              <w:color w:val="auto"/>
              <w:sz w:val="24"/>
              <w:szCs w:val="24"/>
            </w:rPr>
            <w:fldChar w:fldCharType="begin"/>
          </w:r>
          <w:r>
            <w:rPr>
              <w:color w:val="auto"/>
              <w:sz w:val="24"/>
              <w:szCs w:val="24"/>
            </w:rPr>
            <w:instrText xml:space="preserve"> PAGEREF _Toc40625193 \h </w:instrText>
          </w:r>
          <w:r>
            <w:rPr>
              <w:color w:val="auto"/>
              <w:sz w:val="24"/>
              <w:szCs w:val="24"/>
            </w:rPr>
            <w:fldChar w:fldCharType="separate"/>
          </w:r>
          <w:r>
            <w:rPr>
              <w:color w:val="auto"/>
              <w:sz w:val="24"/>
              <w:szCs w:val="24"/>
            </w:rPr>
            <w:t>56</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"_Toc40625194" </w:instrText>
          </w:r>
          <w:r>
            <w:fldChar w:fldCharType="separate"/>
          </w:r>
          <w:r>
            <w:rPr>
              <w:rStyle w:val="28"/>
              <w:color w:val="auto"/>
              <w:sz w:val="24"/>
              <w:szCs w:val="24"/>
            </w:rPr>
            <w:t>6.2区域内高耗能行业现状</w:t>
          </w:r>
          <w:r>
            <w:rPr>
              <w:color w:val="auto"/>
              <w:sz w:val="24"/>
              <w:szCs w:val="24"/>
            </w:rPr>
            <w:tab/>
          </w:r>
          <w:r>
            <w:rPr>
              <w:color w:val="auto"/>
              <w:sz w:val="24"/>
              <w:szCs w:val="24"/>
            </w:rPr>
            <w:fldChar w:fldCharType="begin"/>
          </w:r>
          <w:r>
            <w:rPr>
              <w:color w:val="auto"/>
              <w:sz w:val="24"/>
              <w:szCs w:val="24"/>
            </w:rPr>
            <w:instrText xml:space="preserve"> PAGEREF _Toc40625194 \h </w:instrText>
          </w:r>
          <w:r>
            <w:rPr>
              <w:color w:val="auto"/>
              <w:sz w:val="24"/>
              <w:szCs w:val="24"/>
            </w:rPr>
            <w:fldChar w:fldCharType="separate"/>
          </w:r>
          <w:r>
            <w:rPr>
              <w:color w:val="auto"/>
              <w:sz w:val="24"/>
              <w:szCs w:val="24"/>
            </w:rPr>
            <w:t>64</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"_Toc40625195" </w:instrText>
          </w:r>
          <w:r>
            <w:fldChar w:fldCharType="separate"/>
          </w:r>
          <w:r>
            <w:rPr>
              <w:rStyle w:val="28"/>
              <w:color w:val="auto"/>
              <w:sz w:val="24"/>
              <w:szCs w:val="24"/>
            </w:rPr>
            <w:t>6.2.1非金属矿物制品业</w:t>
          </w:r>
          <w:r>
            <w:rPr>
              <w:color w:val="auto"/>
              <w:sz w:val="24"/>
              <w:szCs w:val="24"/>
            </w:rPr>
            <w:tab/>
          </w:r>
          <w:r>
            <w:rPr>
              <w:color w:val="auto"/>
              <w:sz w:val="24"/>
              <w:szCs w:val="24"/>
            </w:rPr>
            <w:fldChar w:fldCharType="begin"/>
          </w:r>
          <w:r>
            <w:rPr>
              <w:color w:val="auto"/>
              <w:sz w:val="24"/>
              <w:szCs w:val="24"/>
            </w:rPr>
            <w:instrText xml:space="preserve"> PAGEREF _Toc40625195 \h </w:instrText>
          </w:r>
          <w:r>
            <w:rPr>
              <w:color w:val="auto"/>
              <w:sz w:val="24"/>
              <w:szCs w:val="24"/>
            </w:rPr>
            <w:fldChar w:fldCharType="separate"/>
          </w:r>
          <w:r>
            <w:rPr>
              <w:color w:val="auto"/>
              <w:sz w:val="24"/>
              <w:szCs w:val="24"/>
            </w:rPr>
            <w:t>64</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"_Toc40625196" </w:instrText>
          </w:r>
          <w:r>
            <w:fldChar w:fldCharType="separate"/>
          </w:r>
          <w:r>
            <w:rPr>
              <w:rStyle w:val="28"/>
              <w:color w:val="auto"/>
              <w:sz w:val="24"/>
              <w:szCs w:val="24"/>
            </w:rPr>
            <w:t>6.2.2酒、饮料和精制茶制造业</w:t>
          </w:r>
          <w:r>
            <w:rPr>
              <w:color w:val="auto"/>
              <w:sz w:val="24"/>
              <w:szCs w:val="24"/>
            </w:rPr>
            <w:tab/>
          </w:r>
          <w:r>
            <w:rPr>
              <w:color w:val="auto"/>
              <w:sz w:val="24"/>
              <w:szCs w:val="24"/>
            </w:rPr>
            <w:fldChar w:fldCharType="begin"/>
          </w:r>
          <w:r>
            <w:rPr>
              <w:color w:val="auto"/>
              <w:sz w:val="24"/>
              <w:szCs w:val="24"/>
            </w:rPr>
            <w:instrText xml:space="preserve"> PAGEREF _Toc40625196 \h </w:instrText>
          </w:r>
          <w:r>
            <w:rPr>
              <w:color w:val="auto"/>
              <w:sz w:val="24"/>
              <w:szCs w:val="24"/>
            </w:rPr>
            <w:fldChar w:fldCharType="separate"/>
          </w:r>
          <w:r>
            <w:rPr>
              <w:color w:val="auto"/>
              <w:sz w:val="24"/>
              <w:szCs w:val="24"/>
            </w:rPr>
            <w:t>65</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"_Toc40625197" </w:instrText>
          </w:r>
          <w:r>
            <w:fldChar w:fldCharType="separate"/>
          </w:r>
          <w:r>
            <w:rPr>
              <w:rStyle w:val="28"/>
              <w:color w:val="auto"/>
              <w:sz w:val="24"/>
              <w:szCs w:val="24"/>
            </w:rPr>
            <w:t>6.2.3纺织业</w:t>
          </w:r>
          <w:r>
            <w:rPr>
              <w:color w:val="auto"/>
              <w:sz w:val="24"/>
              <w:szCs w:val="24"/>
            </w:rPr>
            <w:tab/>
          </w:r>
          <w:r>
            <w:rPr>
              <w:color w:val="auto"/>
              <w:sz w:val="24"/>
              <w:szCs w:val="24"/>
            </w:rPr>
            <w:fldChar w:fldCharType="begin"/>
          </w:r>
          <w:r>
            <w:rPr>
              <w:color w:val="auto"/>
              <w:sz w:val="24"/>
              <w:szCs w:val="24"/>
            </w:rPr>
            <w:instrText xml:space="preserve"> PAGEREF _Toc40625197 \h </w:instrText>
          </w:r>
          <w:r>
            <w:rPr>
              <w:color w:val="auto"/>
              <w:sz w:val="24"/>
              <w:szCs w:val="24"/>
            </w:rPr>
            <w:fldChar w:fldCharType="separate"/>
          </w:r>
          <w:r>
            <w:rPr>
              <w:color w:val="auto"/>
              <w:sz w:val="24"/>
              <w:szCs w:val="24"/>
            </w:rPr>
            <w:t>66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"_Toc40625198" </w:instrText>
          </w:r>
          <w:r>
            <w:fldChar w:fldCharType="separate"/>
          </w:r>
          <w:r>
            <w:rPr>
              <w:rStyle w:val="28"/>
              <w:color w:val="auto"/>
              <w:sz w:val="24"/>
              <w:szCs w:val="24"/>
            </w:rPr>
            <w:t>6.2.4金属制品业</w:t>
          </w:r>
          <w:r>
            <w:rPr>
              <w:color w:val="auto"/>
              <w:sz w:val="24"/>
              <w:szCs w:val="24"/>
            </w:rPr>
            <w:tab/>
          </w:r>
          <w:r>
            <w:rPr>
              <w:color w:val="auto"/>
              <w:sz w:val="24"/>
              <w:szCs w:val="24"/>
            </w:rPr>
            <w:fldChar w:fldCharType="begin"/>
          </w:r>
          <w:r>
            <w:rPr>
              <w:color w:val="auto"/>
              <w:sz w:val="24"/>
              <w:szCs w:val="24"/>
            </w:rPr>
            <w:instrText xml:space="preserve"> PAGEREF _Toc40625198 \h </w:instrText>
          </w:r>
          <w:r>
            <w:rPr>
              <w:color w:val="auto"/>
              <w:sz w:val="24"/>
              <w:szCs w:val="24"/>
            </w:rPr>
            <w:fldChar w:fldCharType="separate"/>
          </w:r>
          <w:r>
            <w:rPr>
              <w:color w:val="auto"/>
              <w:sz w:val="24"/>
              <w:szCs w:val="24"/>
            </w:rPr>
            <w:t>66</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"_Toc40625199" </w:instrText>
          </w:r>
          <w:r>
            <w:fldChar w:fldCharType="separate"/>
          </w:r>
          <w:r>
            <w:rPr>
              <w:rStyle w:val="28"/>
              <w:color w:val="auto"/>
              <w:sz w:val="24"/>
              <w:szCs w:val="24"/>
            </w:rPr>
            <w:t>6.2.5医药制造业</w:t>
          </w:r>
          <w:r>
            <w:rPr>
              <w:color w:val="auto"/>
              <w:sz w:val="24"/>
              <w:szCs w:val="24"/>
            </w:rPr>
            <w:tab/>
          </w:r>
          <w:r>
            <w:rPr>
              <w:color w:val="auto"/>
              <w:sz w:val="24"/>
              <w:szCs w:val="24"/>
            </w:rPr>
            <w:fldChar w:fldCharType="begin"/>
          </w:r>
          <w:r>
            <w:rPr>
              <w:color w:val="auto"/>
              <w:sz w:val="24"/>
              <w:szCs w:val="24"/>
            </w:rPr>
            <w:instrText xml:space="preserve"> PAGEREF _Toc40625199 \h </w:instrText>
          </w:r>
          <w:r>
            <w:rPr>
              <w:color w:val="auto"/>
              <w:sz w:val="24"/>
              <w:szCs w:val="24"/>
            </w:rPr>
            <w:fldChar w:fldCharType="separate"/>
          </w:r>
          <w:r>
            <w:rPr>
              <w:color w:val="auto"/>
              <w:sz w:val="24"/>
              <w:szCs w:val="24"/>
            </w:rPr>
            <w:t>67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"_Toc40625200" </w:instrText>
          </w:r>
          <w:r>
            <w:fldChar w:fldCharType="separate"/>
          </w:r>
          <w:r>
            <w:rPr>
              <w:rStyle w:val="28"/>
              <w:color w:val="auto"/>
              <w:sz w:val="24"/>
              <w:szCs w:val="24"/>
            </w:rPr>
            <w:t>6.2.6造纸和纸制品业</w:t>
          </w:r>
          <w:r>
            <w:rPr>
              <w:color w:val="auto"/>
              <w:sz w:val="24"/>
              <w:szCs w:val="24"/>
            </w:rPr>
            <w:tab/>
          </w:r>
          <w:r>
            <w:rPr>
              <w:color w:val="auto"/>
              <w:sz w:val="24"/>
              <w:szCs w:val="24"/>
            </w:rPr>
            <w:fldChar w:fldCharType="begin"/>
          </w:r>
          <w:r>
            <w:rPr>
              <w:color w:val="auto"/>
              <w:sz w:val="24"/>
              <w:szCs w:val="24"/>
            </w:rPr>
            <w:instrText xml:space="preserve"> PAGEREF _Toc40625200 \h </w:instrText>
          </w:r>
          <w:r>
            <w:rPr>
              <w:color w:val="auto"/>
              <w:sz w:val="24"/>
              <w:szCs w:val="24"/>
            </w:rPr>
            <w:fldChar w:fldCharType="separate"/>
          </w:r>
          <w:r>
            <w:rPr>
              <w:color w:val="auto"/>
              <w:sz w:val="24"/>
              <w:szCs w:val="24"/>
            </w:rPr>
            <w:t>68</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"_Toc40625201" </w:instrText>
          </w:r>
          <w:r>
            <w:fldChar w:fldCharType="separate"/>
          </w:r>
          <w:r>
            <w:rPr>
              <w:rStyle w:val="28"/>
              <w:color w:val="auto"/>
              <w:sz w:val="24"/>
              <w:szCs w:val="24"/>
            </w:rPr>
            <w:t>6.3区域内负面清单的评价界定</w:t>
          </w:r>
          <w:r>
            <w:rPr>
              <w:color w:val="auto"/>
              <w:sz w:val="24"/>
              <w:szCs w:val="24"/>
            </w:rPr>
            <w:tab/>
          </w:r>
          <w:r>
            <w:rPr>
              <w:color w:val="auto"/>
              <w:sz w:val="24"/>
              <w:szCs w:val="24"/>
            </w:rPr>
            <w:fldChar w:fldCharType="begin"/>
          </w:r>
          <w:r>
            <w:rPr>
              <w:color w:val="auto"/>
              <w:sz w:val="24"/>
              <w:szCs w:val="24"/>
            </w:rPr>
            <w:instrText xml:space="preserve"> PAGEREF _Toc40625201 \h </w:instrText>
          </w:r>
          <w:r>
            <w:rPr>
              <w:color w:val="auto"/>
              <w:sz w:val="24"/>
              <w:szCs w:val="24"/>
            </w:rPr>
            <w:fldChar w:fldCharType="separate"/>
          </w:r>
          <w:r>
            <w:rPr>
              <w:color w:val="auto"/>
              <w:sz w:val="24"/>
              <w:szCs w:val="24"/>
            </w:rPr>
            <w:t>68</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"_Toc40625202" </w:instrText>
          </w:r>
          <w:r>
            <w:fldChar w:fldCharType="separate"/>
          </w:r>
          <w:r>
            <w:rPr>
              <w:rStyle w:val="28"/>
              <w:color w:val="auto"/>
              <w:sz w:val="24"/>
              <w:szCs w:val="24"/>
            </w:rPr>
            <w:t>6.4区域内负面清单信息汇总</w:t>
          </w:r>
          <w:r>
            <w:rPr>
              <w:color w:val="auto"/>
              <w:sz w:val="24"/>
              <w:szCs w:val="24"/>
            </w:rPr>
            <w:tab/>
          </w:r>
          <w:r>
            <w:rPr>
              <w:color w:val="auto"/>
              <w:sz w:val="24"/>
              <w:szCs w:val="24"/>
            </w:rPr>
            <w:fldChar w:fldCharType="begin"/>
          </w:r>
          <w:r>
            <w:rPr>
              <w:color w:val="auto"/>
              <w:sz w:val="24"/>
              <w:szCs w:val="24"/>
            </w:rPr>
            <w:instrText xml:space="preserve"> PAGEREF _Toc40625202 \h </w:instrText>
          </w:r>
          <w:r>
            <w:rPr>
              <w:color w:val="auto"/>
              <w:sz w:val="24"/>
              <w:szCs w:val="24"/>
            </w:rPr>
            <w:fldChar w:fldCharType="separate"/>
          </w:r>
          <w:r>
            <w:rPr>
              <w:color w:val="auto"/>
              <w:sz w:val="24"/>
              <w:szCs w:val="24"/>
            </w:rPr>
            <w:t>69</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"_Toc40625203" </w:instrText>
          </w:r>
          <w:r>
            <w:fldChar w:fldCharType="separate"/>
          </w:r>
          <w:r>
            <w:rPr>
              <w:rStyle w:val="28"/>
              <w:color w:val="auto"/>
              <w:sz w:val="24"/>
              <w:szCs w:val="24"/>
            </w:rPr>
            <w:t>6.5区域内主要行业单位产品能效控制指标汇总</w:t>
          </w:r>
          <w:r>
            <w:rPr>
              <w:color w:val="auto"/>
              <w:sz w:val="24"/>
              <w:szCs w:val="24"/>
            </w:rPr>
            <w:tab/>
          </w:r>
          <w:r>
            <w:rPr>
              <w:color w:val="auto"/>
              <w:sz w:val="24"/>
              <w:szCs w:val="24"/>
            </w:rPr>
            <w:fldChar w:fldCharType="begin"/>
          </w:r>
          <w:r>
            <w:rPr>
              <w:color w:val="auto"/>
              <w:sz w:val="24"/>
              <w:szCs w:val="24"/>
            </w:rPr>
            <w:instrText xml:space="preserve"> PAGEREF _Toc40625203 \h </w:instrText>
          </w:r>
          <w:r>
            <w:rPr>
              <w:color w:val="auto"/>
              <w:sz w:val="24"/>
              <w:szCs w:val="24"/>
            </w:rPr>
            <w:fldChar w:fldCharType="separate"/>
          </w:r>
          <w:r>
            <w:rPr>
              <w:color w:val="auto"/>
              <w:sz w:val="24"/>
              <w:szCs w:val="24"/>
            </w:rPr>
            <w:t>70</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"_Toc40625204" </w:instrText>
          </w:r>
          <w:r>
            <w:fldChar w:fldCharType="separate"/>
          </w:r>
          <w:r>
            <w:rPr>
              <w:rStyle w:val="28"/>
              <w:rFonts w:ascii="Times New Roman" w:hAnsi="Times New Roman"/>
              <w:color w:val="auto"/>
              <w:sz w:val="24"/>
              <w:szCs w:val="24"/>
            </w:rPr>
            <w:t>第七章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区域节能措施</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_Toc40625204 \h </w:instrText>
          </w:r>
          <w:r>
            <w:rPr>
              <w:rFonts w:ascii="Times New Roman" w:hAnsi="Times New Roman"/>
              <w:color w:val="auto"/>
              <w:sz w:val="24"/>
              <w:szCs w:val="24"/>
            </w:rPr>
            <w:fldChar w:fldCharType="separate"/>
          </w:r>
          <w:r>
            <w:rPr>
              <w:rFonts w:ascii="Times New Roman" w:hAnsi="Times New Roman"/>
              <w:color w:val="auto"/>
              <w:sz w:val="24"/>
              <w:szCs w:val="24"/>
            </w:rPr>
            <w:t>78</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"_Toc40625205" </w:instrText>
          </w:r>
          <w:r>
            <w:fldChar w:fldCharType="separate"/>
          </w:r>
          <w:r>
            <w:rPr>
              <w:rStyle w:val="28"/>
              <w:color w:val="auto"/>
              <w:sz w:val="24"/>
              <w:szCs w:val="24"/>
            </w:rPr>
            <w:t>7.1区域节能技术措施</w:t>
          </w:r>
          <w:r>
            <w:rPr>
              <w:color w:val="auto"/>
              <w:sz w:val="24"/>
              <w:szCs w:val="24"/>
            </w:rPr>
            <w:tab/>
          </w:r>
          <w:r>
            <w:rPr>
              <w:color w:val="auto"/>
              <w:sz w:val="24"/>
              <w:szCs w:val="24"/>
            </w:rPr>
            <w:fldChar w:fldCharType="begin"/>
          </w:r>
          <w:r>
            <w:rPr>
              <w:color w:val="auto"/>
              <w:sz w:val="24"/>
              <w:szCs w:val="24"/>
            </w:rPr>
            <w:instrText xml:space="preserve"> PAGEREF _Toc40625205 \h </w:instrText>
          </w:r>
          <w:r>
            <w:rPr>
              <w:color w:val="auto"/>
              <w:sz w:val="24"/>
              <w:szCs w:val="24"/>
            </w:rPr>
            <w:fldChar w:fldCharType="separate"/>
          </w:r>
          <w:r>
            <w:rPr>
              <w:color w:val="auto"/>
              <w:sz w:val="24"/>
              <w:szCs w:val="24"/>
            </w:rPr>
            <w:t>78</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"_Toc40625206" </w:instrText>
          </w:r>
          <w:r>
            <w:fldChar w:fldCharType="separate"/>
          </w:r>
          <w:r>
            <w:rPr>
              <w:rStyle w:val="28"/>
              <w:color w:val="auto"/>
              <w:sz w:val="24"/>
              <w:szCs w:val="24"/>
            </w:rPr>
            <w:t>7.1.1行业节能技术措施</w:t>
          </w:r>
          <w:r>
            <w:rPr>
              <w:color w:val="auto"/>
              <w:sz w:val="24"/>
              <w:szCs w:val="24"/>
            </w:rPr>
            <w:tab/>
          </w:r>
          <w:r>
            <w:rPr>
              <w:color w:val="auto"/>
              <w:sz w:val="24"/>
              <w:szCs w:val="24"/>
            </w:rPr>
            <w:fldChar w:fldCharType="begin"/>
          </w:r>
          <w:r>
            <w:rPr>
              <w:color w:val="auto"/>
              <w:sz w:val="24"/>
              <w:szCs w:val="24"/>
            </w:rPr>
            <w:instrText xml:space="preserve"> PAGEREF _Toc40625206 \h </w:instrText>
          </w:r>
          <w:r>
            <w:rPr>
              <w:color w:val="auto"/>
              <w:sz w:val="24"/>
              <w:szCs w:val="24"/>
            </w:rPr>
            <w:fldChar w:fldCharType="separate"/>
          </w:r>
          <w:r>
            <w:rPr>
              <w:color w:val="auto"/>
              <w:sz w:val="24"/>
              <w:szCs w:val="24"/>
            </w:rPr>
            <w:t>78</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"_Toc40625207" </w:instrText>
          </w:r>
          <w:r>
            <w:fldChar w:fldCharType="separate"/>
          </w:r>
          <w:r>
            <w:rPr>
              <w:rStyle w:val="28"/>
              <w:color w:val="auto"/>
              <w:sz w:val="24"/>
              <w:szCs w:val="24"/>
            </w:rPr>
            <w:t>7.1.2通用节能技术措施</w:t>
          </w:r>
          <w:r>
            <w:rPr>
              <w:color w:val="auto"/>
              <w:sz w:val="24"/>
              <w:szCs w:val="24"/>
            </w:rPr>
            <w:tab/>
          </w:r>
          <w:r>
            <w:rPr>
              <w:color w:val="auto"/>
              <w:sz w:val="24"/>
              <w:szCs w:val="24"/>
            </w:rPr>
            <w:fldChar w:fldCharType="begin"/>
          </w:r>
          <w:r>
            <w:rPr>
              <w:color w:val="auto"/>
              <w:sz w:val="24"/>
              <w:szCs w:val="24"/>
            </w:rPr>
            <w:instrText xml:space="preserve"> PAGEREF _Toc40625207 \h </w:instrText>
          </w:r>
          <w:r>
            <w:rPr>
              <w:color w:val="auto"/>
              <w:sz w:val="24"/>
              <w:szCs w:val="24"/>
            </w:rPr>
            <w:fldChar w:fldCharType="separate"/>
          </w:r>
          <w:r>
            <w:rPr>
              <w:color w:val="auto"/>
              <w:sz w:val="24"/>
              <w:szCs w:val="24"/>
            </w:rPr>
            <w:t>87</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"_Toc40625208" </w:instrText>
          </w:r>
          <w:r>
            <w:fldChar w:fldCharType="separate"/>
          </w:r>
          <w:r>
            <w:rPr>
              <w:rStyle w:val="28"/>
              <w:color w:val="auto"/>
              <w:sz w:val="24"/>
              <w:szCs w:val="24"/>
            </w:rPr>
            <w:t>7.2区域节能管理措施</w:t>
          </w:r>
          <w:r>
            <w:rPr>
              <w:color w:val="auto"/>
              <w:sz w:val="24"/>
              <w:szCs w:val="24"/>
            </w:rPr>
            <w:tab/>
          </w:r>
          <w:r>
            <w:rPr>
              <w:color w:val="auto"/>
              <w:sz w:val="24"/>
              <w:szCs w:val="24"/>
            </w:rPr>
            <w:fldChar w:fldCharType="begin"/>
          </w:r>
          <w:r>
            <w:rPr>
              <w:color w:val="auto"/>
              <w:sz w:val="24"/>
              <w:szCs w:val="24"/>
            </w:rPr>
            <w:instrText xml:space="preserve"> PAGEREF _Toc40625208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"_Toc40625209" </w:instrText>
          </w:r>
          <w:r>
            <w:fldChar w:fldCharType="separate"/>
          </w:r>
          <w:r>
            <w:rPr>
              <w:rStyle w:val="28"/>
              <w:color w:val="auto"/>
              <w:sz w:val="24"/>
              <w:szCs w:val="24"/>
            </w:rPr>
            <w:t>7.2.1能源管理体系</w:t>
          </w:r>
          <w:r>
            <w:rPr>
              <w:color w:val="auto"/>
              <w:sz w:val="24"/>
              <w:szCs w:val="24"/>
            </w:rPr>
            <w:tab/>
          </w:r>
          <w:r>
            <w:rPr>
              <w:color w:val="auto"/>
              <w:sz w:val="24"/>
              <w:szCs w:val="24"/>
            </w:rPr>
            <w:fldChar w:fldCharType="begin"/>
          </w:r>
          <w:r>
            <w:rPr>
              <w:color w:val="auto"/>
              <w:sz w:val="24"/>
              <w:szCs w:val="24"/>
            </w:rPr>
            <w:instrText xml:space="preserve"> PAGEREF _Toc40625209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"_Toc40625210" </w:instrText>
          </w:r>
          <w:r>
            <w:fldChar w:fldCharType="separate"/>
          </w:r>
          <w:r>
            <w:rPr>
              <w:rStyle w:val="28"/>
              <w:color w:val="auto"/>
              <w:sz w:val="24"/>
              <w:szCs w:val="24"/>
            </w:rPr>
            <w:t>7.2.2信息化能源管理系统</w:t>
          </w:r>
          <w:r>
            <w:rPr>
              <w:color w:val="auto"/>
              <w:sz w:val="24"/>
              <w:szCs w:val="24"/>
            </w:rPr>
            <w:tab/>
          </w:r>
          <w:r>
            <w:rPr>
              <w:color w:val="auto"/>
              <w:sz w:val="24"/>
              <w:szCs w:val="24"/>
            </w:rPr>
            <w:fldChar w:fldCharType="begin"/>
          </w:r>
          <w:r>
            <w:rPr>
              <w:color w:val="auto"/>
              <w:sz w:val="24"/>
              <w:szCs w:val="24"/>
            </w:rPr>
            <w:instrText xml:space="preserve"> PAGEREF _Toc40625210 \h </w:instrText>
          </w:r>
          <w:r>
            <w:rPr>
              <w:color w:val="auto"/>
              <w:sz w:val="24"/>
              <w:szCs w:val="24"/>
            </w:rPr>
            <w:fldChar w:fldCharType="separate"/>
          </w:r>
          <w:r>
            <w:rPr>
              <w:color w:val="auto"/>
              <w:sz w:val="24"/>
              <w:szCs w:val="24"/>
            </w:rPr>
            <w:t>97</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"_Toc40625211" </w:instrText>
          </w:r>
          <w:r>
            <w:fldChar w:fldCharType="separate"/>
          </w:r>
          <w:r>
            <w:rPr>
              <w:rStyle w:val="28"/>
              <w:color w:val="auto"/>
              <w:sz w:val="24"/>
              <w:szCs w:val="24"/>
            </w:rPr>
            <w:t>7.2.3政府节能监管措施</w:t>
          </w:r>
          <w:r>
            <w:rPr>
              <w:color w:val="auto"/>
              <w:sz w:val="24"/>
              <w:szCs w:val="24"/>
            </w:rPr>
            <w:tab/>
          </w:r>
          <w:r>
            <w:rPr>
              <w:color w:val="auto"/>
              <w:sz w:val="24"/>
              <w:szCs w:val="24"/>
            </w:rPr>
            <w:fldChar w:fldCharType="begin"/>
          </w:r>
          <w:r>
            <w:rPr>
              <w:color w:val="auto"/>
              <w:sz w:val="24"/>
              <w:szCs w:val="24"/>
            </w:rPr>
            <w:instrText xml:space="preserve"> PAGEREF _Toc40625211 \h </w:instrText>
          </w:r>
          <w:r>
            <w:rPr>
              <w:color w:val="auto"/>
              <w:sz w:val="24"/>
              <w:szCs w:val="24"/>
            </w:rPr>
            <w:fldChar w:fldCharType="separate"/>
          </w:r>
          <w:r>
            <w:rPr>
              <w:color w:val="auto"/>
              <w:sz w:val="24"/>
              <w:szCs w:val="24"/>
            </w:rPr>
            <w:t>98</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"_Toc40625212" </w:instrText>
          </w:r>
          <w:r>
            <w:fldChar w:fldCharType="separate"/>
          </w:r>
          <w:r>
            <w:rPr>
              <w:rStyle w:val="28"/>
              <w:color w:val="auto"/>
              <w:sz w:val="24"/>
              <w:szCs w:val="24"/>
            </w:rPr>
            <w:t>7.3区域重点节能工程与用能结构优化</w:t>
          </w:r>
          <w:r>
            <w:rPr>
              <w:color w:val="auto"/>
              <w:sz w:val="24"/>
              <w:szCs w:val="24"/>
            </w:rPr>
            <w:tab/>
          </w:r>
          <w:r>
            <w:rPr>
              <w:color w:val="auto"/>
              <w:sz w:val="24"/>
              <w:szCs w:val="24"/>
            </w:rPr>
            <w:fldChar w:fldCharType="begin"/>
          </w:r>
          <w:r>
            <w:rPr>
              <w:color w:val="auto"/>
              <w:sz w:val="24"/>
              <w:szCs w:val="24"/>
            </w:rPr>
            <w:instrText xml:space="preserve"> PAGEREF _Toc40625212 \h </w:instrText>
          </w:r>
          <w:r>
            <w:rPr>
              <w:color w:val="auto"/>
              <w:sz w:val="24"/>
              <w:szCs w:val="24"/>
            </w:rPr>
            <w:fldChar w:fldCharType="separate"/>
          </w:r>
          <w:r>
            <w:rPr>
              <w:color w:val="auto"/>
              <w:sz w:val="24"/>
              <w:szCs w:val="24"/>
            </w:rPr>
            <w:t>100</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"_Toc40625213" </w:instrText>
          </w:r>
          <w:r>
            <w:fldChar w:fldCharType="separate"/>
          </w:r>
          <w:r>
            <w:rPr>
              <w:rStyle w:val="28"/>
              <w:color w:val="auto"/>
              <w:sz w:val="24"/>
              <w:szCs w:val="24"/>
            </w:rPr>
            <w:t>7.3.1热电联供及热网工程</w:t>
          </w:r>
          <w:r>
            <w:rPr>
              <w:color w:val="auto"/>
              <w:sz w:val="24"/>
              <w:szCs w:val="24"/>
            </w:rPr>
            <w:tab/>
          </w:r>
          <w:r>
            <w:rPr>
              <w:color w:val="auto"/>
              <w:sz w:val="24"/>
              <w:szCs w:val="24"/>
            </w:rPr>
            <w:fldChar w:fldCharType="begin"/>
          </w:r>
          <w:r>
            <w:rPr>
              <w:color w:val="auto"/>
              <w:sz w:val="24"/>
              <w:szCs w:val="24"/>
            </w:rPr>
            <w:instrText xml:space="preserve"> PAGEREF _Toc40625213 \h </w:instrText>
          </w:r>
          <w:r>
            <w:rPr>
              <w:color w:val="auto"/>
              <w:sz w:val="24"/>
              <w:szCs w:val="24"/>
            </w:rPr>
            <w:fldChar w:fldCharType="separate"/>
          </w:r>
          <w:r>
            <w:rPr>
              <w:color w:val="auto"/>
              <w:sz w:val="24"/>
              <w:szCs w:val="24"/>
            </w:rPr>
            <w:t>100</w:t>
          </w:r>
          <w:r>
            <w:rPr>
              <w:color w:val="auto"/>
              <w:sz w:val="24"/>
              <w:szCs w:val="24"/>
            </w:rPr>
            <w:fldChar w:fldCharType="end"/>
          </w:r>
          <w:r>
            <w:rPr>
              <w:color w:val="auto"/>
              <w:sz w:val="24"/>
              <w:szCs w:val="24"/>
            </w:rPr>
            <w:fldChar w:fldCharType="end"/>
          </w:r>
        </w:p>
        <w:p>
          <w:pPr>
            <w:pStyle w:val="13"/>
            <w:spacing w:line="312" w:lineRule="auto"/>
            <w:ind w:firstLine="560"/>
            <w:rPr>
              <w:rFonts w:eastAsiaTheme="minorEastAsia"/>
              <w:color w:val="auto"/>
              <w:sz w:val="24"/>
              <w:szCs w:val="24"/>
            </w:rPr>
          </w:pPr>
          <w:r>
            <w:fldChar w:fldCharType="begin"/>
          </w:r>
          <w:r>
            <w:instrText xml:space="preserve"> HYPERLINK \l "_Toc40625214" </w:instrText>
          </w:r>
          <w:r>
            <w:fldChar w:fldCharType="separate"/>
          </w:r>
          <w:r>
            <w:rPr>
              <w:rStyle w:val="28"/>
              <w:color w:val="auto"/>
              <w:sz w:val="24"/>
              <w:szCs w:val="24"/>
            </w:rPr>
            <w:t>7.3.2分布式光伏和智能微电网工程</w:t>
          </w:r>
          <w:r>
            <w:rPr>
              <w:color w:val="auto"/>
              <w:sz w:val="24"/>
              <w:szCs w:val="24"/>
            </w:rPr>
            <w:tab/>
          </w:r>
          <w:r>
            <w:rPr>
              <w:color w:val="auto"/>
              <w:sz w:val="24"/>
              <w:szCs w:val="24"/>
            </w:rPr>
            <w:fldChar w:fldCharType="begin"/>
          </w:r>
          <w:r>
            <w:rPr>
              <w:color w:val="auto"/>
              <w:sz w:val="24"/>
              <w:szCs w:val="24"/>
            </w:rPr>
            <w:instrText xml:space="preserve"> PAGEREF _Toc40625214 \h </w:instrText>
          </w:r>
          <w:r>
            <w:rPr>
              <w:color w:val="auto"/>
              <w:sz w:val="24"/>
              <w:szCs w:val="24"/>
            </w:rPr>
            <w:fldChar w:fldCharType="separate"/>
          </w:r>
          <w:r>
            <w:rPr>
              <w:color w:val="auto"/>
              <w:sz w:val="24"/>
              <w:szCs w:val="24"/>
            </w:rPr>
            <w:t>102</w:t>
          </w:r>
          <w:r>
            <w:rPr>
              <w:color w:val="auto"/>
              <w:sz w:val="24"/>
              <w:szCs w:val="24"/>
            </w:rPr>
            <w:fldChar w:fldCharType="end"/>
          </w:r>
          <w:r>
            <w:rPr>
              <w:color w:val="auto"/>
              <w:sz w:val="24"/>
              <w:szCs w:val="24"/>
            </w:rPr>
            <w:fldChar w:fldCharType="end"/>
          </w:r>
        </w:p>
        <w:p>
          <w:pPr>
            <w:pStyle w:val="19"/>
            <w:tabs>
              <w:tab w:val="left" w:pos="1260"/>
            </w:tabs>
            <w:spacing w:afterLines="0"/>
            <w:rPr>
              <w:rFonts w:ascii="Times New Roman" w:hAnsi="Times New Roman" w:eastAsiaTheme="minorEastAsia"/>
              <w:b w:val="0"/>
              <w:color w:val="auto"/>
              <w:sz w:val="24"/>
              <w:szCs w:val="24"/>
            </w:rPr>
          </w:pPr>
          <w:r>
            <w:fldChar w:fldCharType="begin"/>
          </w:r>
          <w:r>
            <w:instrText xml:space="preserve"> HYPERLINK \l "_Toc40625215" </w:instrText>
          </w:r>
          <w:r>
            <w:fldChar w:fldCharType="separate"/>
          </w:r>
          <w:r>
            <w:rPr>
              <w:rStyle w:val="28"/>
              <w:rFonts w:ascii="Times New Roman" w:hAnsi="Times New Roman"/>
              <w:color w:val="auto"/>
              <w:sz w:val="24"/>
              <w:szCs w:val="24"/>
            </w:rPr>
            <w:t>第八章</w:t>
          </w:r>
          <w:r>
            <w:rPr>
              <w:rFonts w:ascii="Times New Roman" w:hAnsi="Times New Roman" w:eastAsiaTheme="minorEastAsia"/>
              <w:b w:val="0"/>
              <w:color w:val="auto"/>
              <w:sz w:val="24"/>
              <w:szCs w:val="24"/>
            </w:rPr>
            <w:tab/>
          </w:r>
          <w:r>
            <w:rPr>
              <w:rStyle w:val="28"/>
              <w:rFonts w:ascii="Times New Roman" w:hAnsi="Times New Roman"/>
              <w:color w:val="auto"/>
              <w:sz w:val="24"/>
              <w:szCs w:val="24"/>
            </w:rPr>
            <w:t>结论与建议</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_Toc40625215 \h </w:instrText>
          </w:r>
          <w:r>
            <w:rPr>
              <w:rFonts w:ascii="Times New Roman" w:hAnsi="Times New Roman"/>
              <w:color w:val="auto"/>
              <w:sz w:val="24"/>
              <w:szCs w:val="24"/>
            </w:rPr>
            <w:fldChar w:fldCharType="separate"/>
          </w:r>
          <w:r>
            <w:rPr>
              <w:rFonts w:ascii="Times New Roman" w:hAnsi="Times New Roman"/>
              <w:color w:val="auto"/>
              <w:sz w:val="24"/>
              <w:szCs w:val="24"/>
            </w:rPr>
            <w:t>103</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"_Toc40625216" </w:instrText>
          </w:r>
          <w:r>
            <w:fldChar w:fldCharType="separate"/>
          </w:r>
          <w:r>
            <w:rPr>
              <w:rStyle w:val="28"/>
              <w:color w:val="auto"/>
              <w:sz w:val="24"/>
              <w:szCs w:val="24"/>
            </w:rPr>
            <w:t>8.1结论</w:t>
          </w:r>
          <w:r>
            <w:rPr>
              <w:color w:val="auto"/>
              <w:sz w:val="24"/>
              <w:szCs w:val="24"/>
            </w:rPr>
            <w:tab/>
          </w:r>
          <w:r>
            <w:rPr>
              <w:color w:val="auto"/>
              <w:sz w:val="24"/>
              <w:szCs w:val="24"/>
            </w:rPr>
            <w:fldChar w:fldCharType="begin"/>
          </w:r>
          <w:r>
            <w:rPr>
              <w:color w:val="auto"/>
              <w:sz w:val="24"/>
              <w:szCs w:val="24"/>
            </w:rPr>
            <w:instrText xml:space="preserve"> PAGEREF _Toc40625216 \h </w:instrText>
          </w:r>
          <w:r>
            <w:rPr>
              <w:color w:val="auto"/>
              <w:sz w:val="24"/>
              <w:szCs w:val="24"/>
            </w:rPr>
            <w:fldChar w:fldCharType="separate"/>
          </w:r>
          <w:r>
            <w:rPr>
              <w:color w:val="auto"/>
              <w:sz w:val="24"/>
              <w:szCs w:val="24"/>
            </w:rPr>
            <w:t>103</w:t>
          </w:r>
          <w:r>
            <w:rPr>
              <w:color w:val="auto"/>
              <w:sz w:val="24"/>
              <w:szCs w:val="24"/>
            </w:rPr>
            <w:fldChar w:fldCharType="end"/>
          </w:r>
          <w:r>
            <w:rPr>
              <w:color w:val="auto"/>
              <w:sz w:val="24"/>
              <w:szCs w:val="24"/>
            </w:rPr>
            <w:fldChar w:fldCharType="end"/>
          </w:r>
        </w:p>
        <w:p>
          <w:pPr>
            <w:pStyle w:val="20"/>
            <w:spacing w:line="312" w:lineRule="auto"/>
            <w:ind w:firstLine="560"/>
            <w:rPr>
              <w:rFonts w:eastAsiaTheme="minorEastAsia"/>
              <w:color w:val="auto"/>
              <w:sz w:val="24"/>
              <w:szCs w:val="24"/>
            </w:rPr>
          </w:pPr>
          <w:r>
            <w:fldChar w:fldCharType="begin"/>
          </w:r>
          <w:r>
            <w:instrText xml:space="preserve"> HYPERLINK \l "_Toc40625217" </w:instrText>
          </w:r>
          <w:r>
            <w:fldChar w:fldCharType="separate"/>
          </w:r>
          <w:r>
            <w:rPr>
              <w:rStyle w:val="28"/>
              <w:color w:val="auto"/>
              <w:sz w:val="24"/>
              <w:szCs w:val="24"/>
            </w:rPr>
            <w:t>8.2建议</w:t>
          </w:r>
          <w:r>
            <w:rPr>
              <w:color w:val="auto"/>
              <w:sz w:val="24"/>
              <w:szCs w:val="24"/>
            </w:rPr>
            <w:tab/>
          </w:r>
          <w:r>
            <w:rPr>
              <w:color w:val="auto"/>
              <w:sz w:val="24"/>
              <w:szCs w:val="24"/>
            </w:rPr>
            <w:fldChar w:fldCharType="begin"/>
          </w:r>
          <w:r>
            <w:rPr>
              <w:color w:val="auto"/>
              <w:sz w:val="24"/>
              <w:szCs w:val="24"/>
            </w:rPr>
            <w:instrText xml:space="preserve"> PAGEREF _Toc40625217 \h </w:instrText>
          </w:r>
          <w:r>
            <w:rPr>
              <w:color w:val="auto"/>
              <w:sz w:val="24"/>
              <w:szCs w:val="24"/>
            </w:rPr>
            <w:fldChar w:fldCharType="separate"/>
          </w:r>
          <w:r>
            <w:rPr>
              <w:color w:val="auto"/>
              <w:sz w:val="24"/>
              <w:szCs w:val="24"/>
            </w:rPr>
            <w:t>105</w:t>
          </w:r>
          <w:r>
            <w:rPr>
              <w:color w:val="auto"/>
              <w:sz w:val="24"/>
              <w:szCs w:val="24"/>
            </w:rPr>
            <w:fldChar w:fldCharType="end"/>
          </w:r>
          <w:r>
            <w:rPr>
              <w:color w:val="auto"/>
              <w:sz w:val="24"/>
              <w:szCs w:val="24"/>
            </w:rPr>
            <w:fldChar w:fldCharType="end"/>
          </w:r>
        </w:p>
        <w:p>
          <w:pPr>
            <w:pStyle w:val="19"/>
            <w:spacing w:afterLines="0"/>
            <w:rPr>
              <w:rFonts w:ascii="Times New Roman" w:hAnsi="Times New Roman" w:eastAsiaTheme="minorEastAsia"/>
              <w:b w:val="0"/>
              <w:color w:val="auto"/>
              <w:sz w:val="24"/>
              <w:szCs w:val="24"/>
            </w:rPr>
          </w:pPr>
          <w:r>
            <w:fldChar w:fldCharType="begin"/>
          </w:r>
          <w:r>
            <w:instrText xml:space="preserve"> HYPERLINK \l "_Toc40625218" </w:instrText>
          </w:r>
          <w:r>
            <w:fldChar w:fldCharType="separate"/>
          </w:r>
          <w:r>
            <w:rPr>
              <w:rStyle w:val="28"/>
              <w:rFonts w:ascii="Times New Roman" w:hAnsi="Times New Roman"/>
              <w:color w:val="auto"/>
              <w:sz w:val="24"/>
              <w:szCs w:val="24"/>
            </w:rPr>
            <w:t>固定资产投资项目节能承诺备案表</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_Toc40625218 \h </w:instrText>
          </w:r>
          <w:r>
            <w:rPr>
              <w:rFonts w:ascii="Times New Roman" w:hAnsi="Times New Roman"/>
              <w:color w:val="auto"/>
              <w:sz w:val="24"/>
              <w:szCs w:val="24"/>
            </w:rPr>
            <w:fldChar w:fldCharType="separate"/>
          </w:r>
          <w:r>
            <w:rPr>
              <w:rFonts w:ascii="Times New Roman" w:hAnsi="Times New Roman"/>
              <w:color w:val="auto"/>
              <w:sz w:val="24"/>
              <w:szCs w:val="24"/>
            </w:rPr>
            <w:t>107</w:t>
          </w:r>
          <w:r>
            <w:rPr>
              <w:rFonts w:ascii="Times New Roman" w:hAnsi="Times New Roman"/>
              <w:color w:val="auto"/>
              <w:sz w:val="24"/>
              <w:szCs w:val="24"/>
            </w:rPr>
            <w:fldChar w:fldCharType="end"/>
          </w:r>
          <w:r>
            <w:rPr>
              <w:rFonts w:ascii="Times New Roman" w:hAnsi="Times New Roman"/>
              <w:color w:val="auto"/>
              <w:sz w:val="24"/>
              <w:szCs w:val="24"/>
            </w:rPr>
            <w:fldChar w:fldCharType="end"/>
          </w:r>
        </w:p>
        <w:p>
          <w:pPr>
            <w:spacing w:line="312" w:lineRule="auto"/>
            <w:ind w:firstLine="482"/>
            <w:rPr>
              <w:color w:val="auto"/>
            </w:rPr>
          </w:pPr>
          <w:r>
            <w:rPr>
              <w:b/>
              <w:bCs/>
              <w:color w:val="auto"/>
              <w:sz w:val="24"/>
              <w:szCs w:val="24"/>
              <w:lang w:val="zh-CN"/>
            </w:rPr>
            <w:fldChar w:fldCharType="end"/>
          </w:r>
        </w:p>
      </w:sdtContent>
    </w:sdt>
    <w:p>
      <w:pPr>
        <w:ind w:firstLine="0" w:firstLineChars="0"/>
        <w:rPr>
          <w:color w:val="auto"/>
        </w:rPr>
        <w:sectPr>
          <w:footerReference r:id="rId10" w:type="default"/>
          <w:pgSz w:w="11906" w:h="16838"/>
          <w:pgMar w:top="1440" w:right="1800" w:bottom="1440" w:left="1800" w:header="850" w:footer="992" w:gutter="0"/>
          <w:pgNumType w:fmt="upperRoman" w:start="1"/>
          <w:cols w:space="425" w:num="1"/>
          <w:docGrid w:type="lines" w:linePitch="381" w:charSpace="0"/>
        </w:sectPr>
      </w:pPr>
    </w:p>
    <w:p>
      <w:pPr>
        <w:ind w:firstLine="0" w:firstLineChars="0"/>
        <w:rPr>
          <w:color w:val="auto"/>
        </w:rPr>
      </w:pPr>
    </w:p>
    <w:p>
      <w:pPr>
        <w:ind w:firstLine="560"/>
        <w:rPr>
          <w:color w:val="auto"/>
        </w:rPr>
      </w:pPr>
    </w:p>
    <w:p>
      <w:pPr>
        <w:ind w:firstLine="560"/>
        <w:rPr>
          <w:color w:val="auto"/>
        </w:rPr>
        <w:sectPr>
          <w:pgSz w:w="11906" w:h="16838"/>
          <w:pgMar w:top="1440" w:right="1800" w:bottom="1440" w:left="1800" w:header="850" w:footer="992" w:gutter="0"/>
          <w:pgNumType w:fmt="upperRoman" w:start="1"/>
          <w:cols w:space="425" w:num="1"/>
          <w:docGrid w:type="lines" w:linePitch="381" w:charSpace="0"/>
        </w:sectPr>
      </w:pPr>
    </w:p>
    <w:p>
      <w:pPr>
        <w:pStyle w:val="2"/>
        <w:rPr>
          <w:color w:val="auto"/>
        </w:rPr>
      </w:pPr>
      <w:bookmarkStart w:id="9" w:name="_Toc40625144"/>
      <w:r>
        <w:rPr>
          <w:rFonts w:hint="eastAsia"/>
          <w:color w:val="auto"/>
        </w:rPr>
        <w:t>总论</w:t>
      </w:r>
      <w:bookmarkEnd w:id="9"/>
    </w:p>
    <w:p>
      <w:pPr>
        <w:pStyle w:val="3"/>
        <w:ind w:firstLine="643"/>
        <w:rPr>
          <w:color w:val="auto"/>
        </w:rPr>
      </w:pPr>
      <w:bookmarkStart w:id="10" w:name="_Toc40625145"/>
      <w:r>
        <w:rPr>
          <w:rFonts w:hint="eastAsia"/>
          <w:color w:val="auto"/>
        </w:rPr>
        <w:t>1.1区域</w:t>
      </w:r>
      <w:r>
        <w:rPr>
          <w:color w:val="auto"/>
        </w:rPr>
        <w:t>界定</w:t>
      </w:r>
      <w:bookmarkEnd w:id="10"/>
    </w:p>
    <w:p>
      <w:pPr>
        <w:ind w:firstLine="560"/>
        <w:rPr>
          <w:color w:val="auto"/>
        </w:rPr>
      </w:pPr>
      <w:r>
        <w:rPr>
          <w:rFonts w:hint="eastAsia"/>
          <w:color w:val="auto"/>
        </w:rPr>
        <w:t>咸宁国家高新技术产业开发区位于咸宁</w:t>
      </w:r>
      <w:r>
        <w:rPr>
          <w:color w:val="auto"/>
        </w:rPr>
        <w:t>市北部。</w:t>
      </w:r>
      <w:r>
        <w:rPr>
          <w:rFonts w:hint="eastAsia"/>
          <w:color w:val="auto"/>
        </w:rPr>
        <w:t>其区位</w:t>
      </w:r>
      <w:r>
        <w:rPr>
          <w:color w:val="auto"/>
        </w:rPr>
        <w:t>示意</w:t>
      </w:r>
      <w:r>
        <w:rPr>
          <w:rFonts w:hint="eastAsia"/>
          <w:color w:val="auto"/>
        </w:rPr>
        <w:t>如</w:t>
      </w:r>
      <w:r>
        <w:rPr>
          <w:color w:val="auto"/>
        </w:rPr>
        <w:t>下图所示：</w:t>
      </w:r>
    </w:p>
    <w:p>
      <w:pPr>
        <w:keepNext/>
        <w:ind w:firstLine="0" w:firstLineChars="0"/>
        <w:rPr>
          <w:color w:val="auto"/>
        </w:rPr>
      </w:pPr>
      <w:r>
        <w:rPr>
          <w:color w:val="auto"/>
        </w:rPr>
        <w:drawing>
          <wp:inline distT="0" distB="0" distL="0" distR="0">
            <wp:extent cx="5274310" cy="5365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310" cy="5365750"/>
                    </a:xfrm>
                    <a:prstGeom prst="rect">
                      <a:avLst/>
                    </a:prstGeom>
                  </pic:spPr>
                </pic:pic>
              </a:graphicData>
            </a:graphic>
          </wp:inline>
        </w:drawing>
      </w:r>
    </w:p>
    <w:p>
      <w:pPr>
        <w:pStyle w:val="9"/>
        <w:rPr>
          <w:color w:val="auto"/>
        </w:rPr>
      </w:pPr>
      <w:r>
        <w:rPr>
          <w:rFonts w:hint="eastAsia"/>
          <w:color w:val="auto"/>
        </w:rPr>
        <w:t xml:space="preserve">图1- </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咸宁国家高新技术产业开发区区位示意</w:t>
      </w:r>
    </w:p>
    <w:p>
      <w:pPr>
        <w:ind w:firstLine="560"/>
        <w:rPr>
          <w:color w:val="auto"/>
        </w:rPr>
      </w:pPr>
      <w:r>
        <w:rPr>
          <w:rFonts w:hint="eastAsia"/>
          <w:color w:val="auto"/>
        </w:rPr>
        <w:t>评价范围界定：咸宁国家高新技术产业开发区辖区面积149</w:t>
      </w:r>
      <w:r>
        <w:rPr>
          <w:color w:val="auto"/>
        </w:rPr>
        <w:t>.27</w:t>
      </w:r>
      <w:r>
        <w:rPr>
          <w:rFonts w:hint="eastAsia"/>
          <w:color w:val="auto"/>
        </w:rPr>
        <w:t>平方公里，包括横沟桥镇镇域范围（辖袁铺、孙田、凉亭垴、群力、孙祠、付桥、李堡桥、长岭、鹿过、杨畈及原官埠桥镇的栗林村、甘鲁村、马安村13个村及利民社区居委会和朝阳社区居委会）以及镇域范围外建成区域（主要包括旗鼓村、双泉村、浮山村、官埠村及浮山茶场等村组部分用地）。</w:t>
      </w:r>
    </w:p>
    <w:p>
      <w:pPr>
        <w:ind w:firstLine="560"/>
        <w:rPr>
          <w:color w:val="auto"/>
        </w:rPr>
      </w:pPr>
      <w:r>
        <w:rPr>
          <w:rFonts w:hint="eastAsia"/>
          <w:color w:val="auto"/>
        </w:rPr>
        <w:t>目前</w:t>
      </w:r>
      <w:r>
        <w:rPr>
          <w:color w:val="auto"/>
        </w:rPr>
        <w:t>，</w:t>
      </w:r>
      <w:r>
        <w:rPr>
          <w:rFonts w:hint="eastAsia"/>
          <w:color w:val="auto"/>
        </w:rPr>
        <w:t>咸宁国家高新技术产业开发区已初步形成“三心四轴、五园一带”的城镇空间布局，具体</w:t>
      </w:r>
      <w:r>
        <w:rPr>
          <w:color w:val="auto"/>
        </w:rPr>
        <w:t>如下图所示：</w:t>
      </w:r>
    </w:p>
    <w:p>
      <w:pPr>
        <w:keepNext/>
        <w:ind w:firstLine="0" w:firstLineChars="0"/>
        <w:jc w:val="center"/>
        <w:rPr>
          <w:color w:val="auto"/>
        </w:rPr>
      </w:pPr>
      <w:r>
        <w:rPr>
          <w:rFonts w:hint="eastAsia"/>
          <w:color w:val="auto"/>
        </w:rPr>
        <w:drawing>
          <wp:inline distT="0" distB="0" distL="0" distR="0">
            <wp:extent cx="4999355" cy="5354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extLst>
                        <a:ext uri="{28A0092B-C50C-407E-A947-70E740481C1C}">
                          <a14:useLocalDpi xmlns:a14="http://schemas.microsoft.com/office/drawing/2010/main" val="0"/>
                        </a:ext>
                      </a:extLst>
                    </a:blip>
                    <a:srcRect t="2170"/>
                    <a:stretch>
                      <a:fillRect/>
                    </a:stretch>
                  </pic:blipFill>
                  <pic:spPr>
                    <a:xfrm>
                      <a:off x="0" y="0"/>
                      <a:ext cx="5000105" cy="5355172"/>
                    </a:xfrm>
                    <a:prstGeom prst="rect">
                      <a:avLst/>
                    </a:prstGeom>
                    <a:ln>
                      <a:noFill/>
                    </a:ln>
                  </pic:spPr>
                </pic:pic>
              </a:graphicData>
            </a:graphic>
          </wp:inline>
        </w:drawing>
      </w:r>
    </w:p>
    <w:p>
      <w:pPr>
        <w:pStyle w:val="9"/>
        <w:rPr>
          <w:color w:val="auto"/>
        </w:rPr>
      </w:pPr>
      <w:r>
        <w:rPr>
          <w:rFonts w:hint="eastAsia"/>
          <w:color w:val="auto"/>
        </w:rPr>
        <w:t xml:space="preserve">图1- </w:t>
      </w:r>
      <w:r>
        <w:rPr>
          <w:color w:val="auto"/>
        </w:rPr>
        <w:fldChar w:fldCharType="begin"/>
      </w:r>
      <w:r>
        <w:rPr>
          <w:color w:val="auto"/>
        </w:rPr>
        <w:instrText xml:space="preserve"> </w:instrText>
      </w:r>
      <w:r>
        <w:rPr>
          <w:rFonts w:hint="eastAsia"/>
          <w:color w:val="auto"/>
        </w:rPr>
        <w:instrText xml:space="preserve">SEQ 图1-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咸宁国家高新技术产业开发区区域</w:t>
      </w:r>
      <w:r>
        <w:rPr>
          <w:color w:val="auto"/>
        </w:rPr>
        <w:t>界定</w:t>
      </w:r>
    </w:p>
    <w:p>
      <w:pPr>
        <w:pStyle w:val="3"/>
        <w:ind w:firstLine="643"/>
        <w:rPr>
          <w:color w:val="auto"/>
        </w:rPr>
      </w:pPr>
      <w:bookmarkStart w:id="11" w:name="_Toc40625146"/>
      <w:r>
        <w:rPr>
          <w:rFonts w:hint="eastAsia"/>
          <w:color w:val="auto"/>
        </w:rPr>
        <w:t>1.2评价</w:t>
      </w:r>
      <w:r>
        <w:rPr>
          <w:color w:val="auto"/>
        </w:rPr>
        <w:t>依据</w:t>
      </w:r>
      <w:bookmarkEnd w:id="11"/>
    </w:p>
    <w:p>
      <w:pPr>
        <w:pStyle w:val="4"/>
        <w:ind w:firstLine="602"/>
        <w:rPr>
          <w:color w:val="auto"/>
        </w:rPr>
      </w:pPr>
      <w:bookmarkStart w:id="12" w:name="_Toc40625147"/>
      <w:r>
        <w:rPr>
          <w:rFonts w:hint="eastAsia"/>
          <w:color w:val="auto"/>
        </w:rPr>
        <w:t>1.2.1法律法规</w:t>
      </w:r>
      <w:bookmarkEnd w:id="12"/>
    </w:p>
    <w:p>
      <w:pPr>
        <w:pStyle w:val="50"/>
        <w:numPr>
          <w:ilvl w:val="0"/>
          <w:numId w:val="2"/>
        </w:numPr>
        <w:ind w:left="0" w:firstLine="560"/>
        <w:rPr>
          <w:color w:val="auto"/>
        </w:rPr>
      </w:pPr>
      <w:r>
        <w:rPr>
          <w:rFonts w:hint="eastAsia"/>
          <w:color w:val="auto"/>
        </w:rPr>
        <w:t>《中华人民共和国节约能源法》（2018年10月26日修正）；</w:t>
      </w:r>
    </w:p>
    <w:p>
      <w:pPr>
        <w:pStyle w:val="50"/>
        <w:numPr>
          <w:ilvl w:val="0"/>
          <w:numId w:val="2"/>
        </w:numPr>
        <w:ind w:left="0" w:firstLine="560"/>
        <w:rPr>
          <w:color w:val="auto"/>
        </w:rPr>
      </w:pPr>
      <w:r>
        <w:rPr>
          <w:rFonts w:hint="eastAsia"/>
          <w:color w:val="auto"/>
        </w:rPr>
        <w:t>《中华人民共和国循环经济促进法》（2018年10月26日修正）；</w:t>
      </w:r>
    </w:p>
    <w:p>
      <w:pPr>
        <w:pStyle w:val="50"/>
        <w:numPr>
          <w:ilvl w:val="0"/>
          <w:numId w:val="2"/>
        </w:numPr>
        <w:ind w:left="0" w:firstLine="560"/>
        <w:rPr>
          <w:color w:val="auto"/>
        </w:rPr>
      </w:pPr>
      <w:r>
        <w:rPr>
          <w:rFonts w:hint="eastAsia"/>
          <w:color w:val="auto"/>
        </w:rPr>
        <w:t>《中华人民共和国可再生能源法》（2009年12月26日修订，2010年4月1日起施行）；</w:t>
      </w:r>
    </w:p>
    <w:p>
      <w:pPr>
        <w:pStyle w:val="50"/>
        <w:numPr>
          <w:ilvl w:val="0"/>
          <w:numId w:val="2"/>
        </w:numPr>
        <w:ind w:left="0" w:firstLine="560"/>
        <w:rPr>
          <w:color w:val="auto"/>
        </w:rPr>
      </w:pPr>
      <w:r>
        <w:rPr>
          <w:rFonts w:hint="eastAsia"/>
          <w:color w:val="auto"/>
        </w:rPr>
        <w:t>《中华人民共和国清洁生产促进法（修订）》（2012年7月1日实施）；</w:t>
      </w:r>
    </w:p>
    <w:p>
      <w:pPr>
        <w:pStyle w:val="4"/>
        <w:ind w:firstLine="602"/>
        <w:rPr>
          <w:color w:val="auto"/>
        </w:rPr>
      </w:pPr>
      <w:bookmarkStart w:id="13" w:name="_Toc40625148"/>
      <w:r>
        <w:rPr>
          <w:rFonts w:hint="eastAsia"/>
          <w:color w:val="auto"/>
        </w:rPr>
        <w:t>1.2.2部门及地方规范性文件</w:t>
      </w:r>
      <w:bookmarkEnd w:id="13"/>
    </w:p>
    <w:p>
      <w:pPr>
        <w:pStyle w:val="50"/>
        <w:numPr>
          <w:ilvl w:val="0"/>
          <w:numId w:val="3"/>
        </w:numPr>
        <w:ind w:left="0" w:firstLine="560"/>
        <w:rPr>
          <w:color w:val="auto"/>
        </w:rPr>
      </w:pPr>
      <w:r>
        <w:rPr>
          <w:rFonts w:hint="eastAsia"/>
          <w:color w:val="auto"/>
        </w:rPr>
        <w:t>《工业和信息化部办公厅关于发布全国工业能效指南（2014年版）的通知》（工信厅节〔2014〕222号）；</w:t>
      </w:r>
    </w:p>
    <w:p>
      <w:pPr>
        <w:pStyle w:val="50"/>
        <w:numPr>
          <w:ilvl w:val="0"/>
          <w:numId w:val="3"/>
        </w:numPr>
        <w:ind w:left="0" w:firstLine="560"/>
        <w:rPr>
          <w:color w:val="auto"/>
        </w:rPr>
      </w:pPr>
      <w:r>
        <w:rPr>
          <w:rFonts w:hint="eastAsia"/>
          <w:color w:val="auto"/>
        </w:rPr>
        <w:t>国务院关于印发《中国制造2025》的通知（国发〔2015〕28号）；</w:t>
      </w:r>
    </w:p>
    <w:p>
      <w:pPr>
        <w:pStyle w:val="50"/>
        <w:numPr>
          <w:ilvl w:val="0"/>
          <w:numId w:val="3"/>
        </w:numPr>
        <w:ind w:left="0" w:firstLine="560"/>
        <w:rPr>
          <w:color w:val="auto"/>
        </w:rPr>
      </w:pPr>
      <w:r>
        <w:rPr>
          <w:rFonts w:hint="eastAsia"/>
          <w:color w:val="auto"/>
        </w:rPr>
        <w:t>《中共中央国务院关于加快推进生态文明建设的意见》（2015年4月25日）；</w:t>
      </w:r>
    </w:p>
    <w:p>
      <w:pPr>
        <w:pStyle w:val="50"/>
        <w:numPr>
          <w:ilvl w:val="0"/>
          <w:numId w:val="3"/>
        </w:numPr>
        <w:ind w:left="0" w:firstLine="560"/>
        <w:rPr>
          <w:color w:val="auto"/>
        </w:rPr>
      </w:pPr>
      <w:r>
        <w:rPr>
          <w:rFonts w:hint="eastAsia"/>
          <w:color w:val="auto"/>
        </w:rPr>
        <w:t>《工业节能管理办法》（工信部令〔2016〕33号）；</w:t>
      </w:r>
    </w:p>
    <w:p>
      <w:pPr>
        <w:pStyle w:val="50"/>
        <w:numPr>
          <w:ilvl w:val="0"/>
          <w:numId w:val="3"/>
        </w:numPr>
        <w:ind w:left="0" w:firstLine="560"/>
        <w:rPr>
          <w:color w:val="auto"/>
        </w:rPr>
      </w:pPr>
      <w:r>
        <w:rPr>
          <w:rFonts w:hint="eastAsia"/>
          <w:color w:val="auto"/>
        </w:rPr>
        <w:t>《固定资产投资项目节能评价和审查办法》（国家发展和改革委员会2016年第44号令）；</w:t>
      </w:r>
    </w:p>
    <w:p>
      <w:pPr>
        <w:pStyle w:val="50"/>
        <w:numPr>
          <w:ilvl w:val="0"/>
          <w:numId w:val="3"/>
        </w:numPr>
        <w:ind w:left="0" w:firstLine="560"/>
        <w:rPr>
          <w:color w:val="auto"/>
        </w:rPr>
      </w:pPr>
      <w:r>
        <w:rPr>
          <w:rFonts w:hint="eastAsia"/>
          <w:color w:val="auto"/>
        </w:rPr>
        <w:t>工业和信息化部关于印发《工业绿色发展规划（2016-2020年）》的通知（工信部规〔2016〕225号）；</w:t>
      </w:r>
    </w:p>
    <w:p>
      <w:pPr>
        <w:pStyle w:val="50"/>
        <w:numPr>
          <w:ilvl w:val="0"/>
          <w:numId w:val="3"/>
        </w:numPr>
        <w:ind w:left="0" w:firstLine="560"/>
        <w:rPr>
          <w:color w:val="auto"/>
        </w:rPr>
      </w:pPr>
      <w:r>
        <w:rPr>
          <w:rFonts w:hint="eastAsia"/>
          <w:color w:val="auto"/>
        </w:rPr>
        <w:t>关于印发《绿色发展指标体系》《生态文明建设考核目标体系》的通知（发改环资〔2016〕2635号）；</w:t>
      </w:r>
    </w:p>
    <w:p>
      <w:pPr>
        <w:pStyle w:val="50"/>
        <w:numPr>
          <w:ilvl w:val="0"/>
          <w:numId w:val="3"/>
        </w:numPr>
        <w:ind w:left="0" w:firstLine="560"/>
        <w:rPr>
          <w:color w:val="auto"/>
        </w:rPr>
      </w:pPr>
      <w:r>
        <w:rPr>
          <w:rFonts w:hint="eastAsia"/>
          <w:color w:val="auto"/>
        </w:rPr>
        <w:t>《国务院办公厅关于全面开展工程建设项目审批制度改革的实施意见》（国办发〔2019〕11号）；</w:t>
      </w:r>
    </w:p>
    <w:p>
      <w:pPr>
        <w:pStyle w:val="50"/>
        <w:numPr>
          <w:ilvl w:val="0"/>
          <w:numId w:val="3"/>
        </w:numPr>
        <w:ind w:left="0" w:firstLine="560"/>
        <w:rPr>
          <w:color w:val="auto"/>
        </w:rPr>
      </w:pPr>
      <w:r>
        <w:rPr>
          <w:rFonts w:hint="eastAsia"/>
          <w:color w:val="auto"/>
        </w:rPr>
        <w:t>《湖北省固定资产投资项目节能审查实施办法》（鄂发改规〔2017〕3号）；</w:t>
      </w:r>
    </w:p>
    <w:p>
      <w:pPr>
        <w:pStyle w:val="50"/>
        <w:numPr>
          <w:ilvl w:val="0"/>
          <w:numId w:val="3"/>
        </w:numPr>
        <w:ind w:left="0" w:firstLine="560"/>
        <w:rPr>
          <w:color w:val="auto"/>
        </w:rPr>
      </w:pPr>
      <w:r>
        <w:rPr>
          <w:rFonts w:hint="eastAsia"/>
          <w:color w:val="auto"/>
        </w:rPr>
        <w:t>《湖北省人民政府关于深化“放管服”改革持续推进政府职宋体能转变的实施意见》（鄂政发〔2018〕28号）；</w:t>
      </w:r>
    </w:p>
    <w:p>
      <w:pPr>
        <w:pStyle w:val="50"/>
        <w:numPr>
          <w:ilvl w:val="0"/>
          <w:numId w:val="3"/>
        </w:numPr>
        <w:ind w:left="0" w:firstLine="560"/>
        <w:rPr>
          <w:color w:val="auto"/>
        </w:rPr>
      </w:pPr>
      <w:r>
        <w:rPr>
          <w:rFonts w:hint="eastAsia"/>
          <w:color w:val="auto"/>
        </w:rPr>
        <w:t>《省人民政府办公厅关于印发湖北省工程建设项目审批制度改革实施方案的通知》（鄂政办发〔2019〕44号）；</w:t>
      </w:r>
    </w:p>
    <w:p>
      <w:pPr>
        <w:pStyle w:val="50"/>
        <w:numPr>
          <w:ilvl w:val="0"/>
          <w:numId w:val="3"/>
        </w:numPr>
        <w:ind w:left="0" w:firstLine="560"/>
        <w:rPr>
          <w:color w:val="auto"/>
        </w:rPr>
      </w:pPr>
      <w:r>
        <w:rPr>
          <w:rFonts w:hint="eastAsia"/>
          <w:color w:val="auto"/>
        </w:rPr>
        <w:t>《省发展改革委关于印发&lt;湖北省县（市、区）区域节能评估实施细则（试行）的通知&gt;》（鄂发改规〔2019〕2号）；</w:t>
      </w:r>
      <w:bookmarkStart w:id="14" w:name="_Toc40625149"/>
    </w:p>
    <w:p>
      <w:pPr>
        <w:pStyle w:val="50"/>
        <w:numPr>
          <w:ilvl w:val="0"/>
          <w:numId w:val="3"/>
        </w:numPr>
        <w:ind w:left="0" w:firstLine="560"/>
        <w:rPr>
          <w:color w:val="auto"/>
        </w:rPr>
      </w:pPr>
      <w:r>
        <w:rPr>
          <w:rFonts w:hint="eastAsia"/>
        </w:rPr>
        <w:t>《省人民政府关于加快推进重大项目建设着力扩大有效投资的若干意见》（鄂政发〔2020〕8号）。</w:t>
      </w:r>
    </w:p>
    <w:p>
      <w:pPr>
        <w:pStyle w:val="4"/>
        <w:ind w:firstLine="602"/>
        <w:rPr>
          <w:color w:val="auto"/>
        </w:rPr>
      </w:pPr>
      <w:r>
        <w:rPr>
          <w:rFonts w:hint="eastAsia"/>
          <w:color w:val="auto"/>
        </w:rPr>
        <w:t>1.2.3技术</w:t>
      </w:r>
      <w:r>
        <w:rPr>
          <w:color w:val="auto"/>
        </w:rPr>
        <w:t>标准与规范</w:t>
      </w:r>
      <w:bookmarkEnd w:id="14"/>
    </w:p>
    <w:p>
      <w:pPr>
        <w:pStyle w:val="50"/>
        <w:numPr>
          <w:ilvl w:val="0"/>
          <w:numId w:val="4"/>
        </w:numPr>
        <w:ind w:left="0" w:firstLine="560"/>
        <w:rPr>
          <w:color w:val="auto"/>
        </w:rPr>
      </w:pPr>
      <w:r>
        <w:rPr>
          <w:rFonts w:hint="eastAsia"/>
          <w:color w:val="auto"/>
        </w:rPr>
        <w:t>《用能单位能源计量器具配备和管理通则》（GB17167-2006）；</w:t>
      </w:r>
    </w:p>
    <w:p>
      <w:pPr>
        <w:pStyle w:val="50"/>
        <w:numPr>
          <w:ilvl w:val="0"/>
          <w:numId w:val="4"/>
        </w:numPr>
        <w:ind w:left="0" w:firstLine="560"/>
        <w:rPr>
          <w:color w:val="auto"/>
        </w:rPr>
      </w:pPr>
      <w:r>
        <w:rPr>
          <w:rFonts w:hint="eastAsia"/>
          <w:color w:val="auto"/>
        </w:rPr>
        <w:t>《节水型企业评价导则》（GB/T</w:t>
      </w:r>
      <w:r>
        <w:rPr>
          <w:color w:val="auto"/>
        </w:rPr>
        <w:t xml:space="preserve"> </w:t>
      </w:r>
      <w:r>
        <w:rPr>
          <w:rFonts w:hint="eastAsia"/>
          <w:color w:val="auto"/>
        </w:rPr>
        <w:t>7119-2018）；</w:t>
      </w:r>
    </w:p>
    <w:p>
      <w:pPr>
        <w:pStyle w:val="50"/>
        <w:numPr>
          <w:ilvl w:val="0"/>
          <w:numId w:val="4"/>
        </w:numPr>
        <w:ind w:left="0" w:firstLine="560"/>
        <w:rPr>
          <w:color w:val="auto"/>
        </w:rPr>
      </w:pPr>
      <w:r>
        <w:rPr>
          <w:rFonts w:hint="eastAsia"/>
          <w:color w:val="auto"/>
        </w:rPr>
        <w:t>《用能单位节能量计算方法》（GB/T</w:t>
      </w:r>
      <w:r>
        <w:rPr>
          <w:color w:val="auto"/>
        </w:rPr>
        <w:t xml:space="preserve"> </w:t>
      </w:r>
      <w:r>
        <w:rPr>
          <w:rFonts w:hint="eastAsia"/>
          <w:color w:val="auto"/>
        </w:rPr>
        <w:t>13234-2018）；</w:t>
      </w:r>
    </w:p>
    <w:p>
      <w:pPr>
        <w:pStyle w:val="50"/>
        <w:numPr>
          <w:ilvl w:val="0"/>
          <w:numId w:val="4"/>
        </w:numPr>
        <w:ind w:left="0" w:firstLine="560"/>
        <w:rPr>
          <w:color w:val="auto"/>
        </w:rPr>
      </w:pPr>
      <w:r>
        <w:rPr>
          <w:rFonts w:hint="eastAsia"/>
          <w:color w:val="auto"/>
        </w:rPr>
        <w:t>《综合能耗计算通则》（GB/T</w:t>
      </w:r>
      <w:r>
        <w:rPr>
          <w:color w:val="auto"/>
        </w:rPr>
        <w:t xml:space="preserve"> </w:t>
      </w:r>
      <w:r>
        <w:rPr>
          <w:rFonts w:hint="eastAsia"/>
          <w:color w:val="auto"/>
        </w:rPr>
        <w:t>2589-2008）；</w:t>
      </w:r>
    </w:p>
    <w:p>
      <w:pPr>
        <w:pStyle w:val="50"/>
        <w:numPr>
          <w:ilvl w:val="0"/>
          <w:numId w:val="4"/>
        </w:numPr>
        <w:ind w:left="0" w:firstLine="560"/>
        <w:rPr>
          <w:color w:val="auto"/>
        </w:rPr>
      </w:pPr>
      <w:r>
        <w:rPr>
          <w:rFonts w:hint="eastAsia"/>
          <w:color w:val="auto"/>
        </w:rPr>
        <w:t>《工业企业能源管理导则》（GB/T</w:t>
      </w:r>
      <w:r>
        <w:rPr>
          <w:color w:val="auto"/>
        </w:rPr>
        <w:t xml:space="preserve"> </w:t>
      </w:r>
      <w:r>
        <w:rPr>
          <w:rFonts w:hint="eastAsia"/>
          <w:color w:val="auto"/>
        </w:rPr>
        <w:t>15587-2008）；</w:t>
      </w:r>
    </w:p>
    <w:p>
      <w:pPr>
        <w:pStyle w:val="50"/>
        <w:numPr>
          <w:ilvl w:val="0"/>
          <w:numId w:val="4"/>
        </w:numPr>
        <w:ind w:left="0" w:firstLine="560"/>
        <w:rPr>
          <w:color w:val="auto"/>
        </w:rPr>
      </w:pPr>
      <w:r>
        <w:rPr>
          <w:rFonts w:hint="eastAsia"/>
          <w:color w:val="auto"/>
        </w:rPr>
        <w:t>《能源管理体系要求》（GB/T</w:t>
      </w:r>
      <w:r>
        <w:rPr>
          <w:color w:val="auto"/>
        </w:rPr>
        <w:t xml:space="preserve"> </w:t>
      </w:r>
      <w:r>
        <w:rPr>
          <w:rFonts w:hint="eastAsia"/>
          <w:color w:val="auto"/>
        </w:rPr>
        <w:t>23331-2012）；</w:t>
      </w:r>
    </w:p>
    <w:p>
      <w:pPr>
        <w:pStyle w:val="50"/>
        <w:numPr>
          <w:ilvl w:val="0"/>
          <w:numId w:val="4"/>
        </w:numPr>
        <w:ind w:left="0" w:firstLine="560"/>
        <w:rPr>
          <w:color w:val="auto"/>
        </w:rPr>
      </w:pPr>
      <w:r>
        <w:rPr>
          <w:rFonts w:hint="eastAsia"/>
          <w:color w:val="auto"/>
        </w:rPr>
        <w:t>《能源管理体系实施指南》（GB/T</w:t>
      </w:r>
      <w:r>
        <w:rPr>
          <w:color w:val="auto"/>
        </w:rPr>
        <w:t xml:space="preserve"> </w:t>
      </w:r>
      <w:r>
        <w:rPr>
          <w:rFonts w:hint="eastAsia"/>
          <w:color w:val="auto"/>
        </w:rPr>
        <w:t>29456-2012）；</w:t>
      </w:r>
    </w:p>
    <w:p>
      <w:pPr>
        <w:pStyle w:val="50"/>
        <w:numPr>
          <w:ilvl w:val="0"/>
          <w:numId w:val="4"/>
        </w:numPr>
        <w:ind w:left="0" w:firstLine="560"/>
        <w:rPr>
          <w:color w:val="auto"/>
        </w:rPr>
      </w:pPr>
      <w:r>
        <w:rPr>
          <w:rFonts w:hint="eastAsia"/>
          <w:color w:val="auto"/>
        </w:rPr>
        <w:t>《节能评价技术导则》（GB/T</w:t>
      </w:r>
      <w:r>
        <w:rPr>
          <w:color w:val="auto"/>
        </w:rPr>
        <w:t xml:space="preserve"> </w:t>
      </w:r>
      <w:r>
        <w:rPr>
          <w:rFonts w:hint="eastAsia"/>
          <w:color w:val="auto"/>
        </w:rPr>
        <w:t>31341-2014）；</w:t>
      </w:r>
    </w:p>
    <w:p>
      <w:pPr>
        <w:pStyle w:val="50"/>
        <w:numPr>
          <w:ilvl w:val="0"/>
          <w:numId w:val="4"/>
        </w:numPr>
        <w:ind w:left="0" w:firstLine="560"/>
        <w:rPr>
          <w:color w:val="auto"/>
        </w:rPr>
      </w:pPr>
      <w:r>
        <w:rPr>
          <w:rFonts w:hint="eastAsia"/>
          <w:color w:val="auto"/>
        </w:rPr>
        <w:t>《国家重点节能低碳技术推广目录（2017年本低碳部分）》；</w:t>
      </w:r>
    </w:p>
    <w:p>
      <w:pPr>
        <w:pStyle w:val="50"/>
        <w:numPr>
          <w:ilvl w:val="0"/>
          <w:numId w:val="4"/>
        </w:numPr>
        <w:ind w:left="0" w:firstLine="560"/>
        <w:rPr>
          <w:color w:val="auto"/>
        </w:rPr>
      </w:pPr>
      <w:r>
        <w:rPr>
          <w:rFonts w:hint="eastAsia"/>
          <w:color w:val="auto"/>
        </w:rPr>
        <w:t>《湖北省绿色生态城区示范技术指标体系（试行）》；</w:t>
      </w:r>
    </w:p>
    <w:p>
      <w:pPr>
        <w:pStyle w:val="50"/>
        <w:numPr>
          <w:ilvl w:val="0"/>
          <w:numId w:val="4"/>
        </w:numPr>
        <w:ind w:left="0" w:firstLine="560"/>
        <w:rPr>
          <w:color w:val="auto"/>
        </w:rPr>
      </w:pPr>
      <w:r>
        <w:rPr>
          <w:rFonts w:hint="eastAsia"/>
          <w:color w:val="auto"/>
        </w:rPr>
        <w:t>《上海产业能效指南（2018版）》；</w:t>
      </w:r>
    </w:p>
    <w:p>
      <w:pPr>
        <w:pStyle w:val="50"/>
        <w:numPr>
          <w:ilvl w:val="0"/>
          <w:numId w:val="4"/>
        </w:numPr>
        <w:ind w:left="0" w:firstLine="560"/>
        <w:rPr>
          <w:color w:val="auto"/>
        </w:rPr>
      </w:pPr>
      <w:r>
        <w:rPr>
          <w:rFonts w:hint="eastAsia"/>
          <w:color w:val="auto"/>
        </w:rPr>
        <w:t>《全国工业能效指南（2014年版）》；</w:t>
      </w:r>
    </w:p>
    <w:p>
      <w:pPr>
        <w:pStyle w:val="50"/>
        <w:numPr>
          <w:ilvl w:val="0"/>
          <w:numId w:val="4"/>
        </w:numPr>
        <w:ind w:left="0" w:firstLine="560"/>
        <w:rPr>
          <w:color w:val="auto"/>
        </w:rPr>
      </w:pPr>
      <w:r>
        <w:rPr>
          <w:rFonts w:hint="eastAsia"/>
          <w:color w:val="auto"/>
        </w:rPr>
        <w:t>《玻璃和铸石单位产品能源消耗限额》（GB 21340-2019）；</w:t>
      </w:r>
    </w:p>
    <w:p>
      <w:pPr>
        <w:pStyle w:val="50"/>
        <w:numPr>
          <w:ilvl w:val="0"/>
          <w:numId w:val="4"/>
        </w:numPr>
        <w:ind w:left="0" w:firstLine="560"/>
        <w:rPr>
          <w:color w:val="auto"/>
        </w:rPr>
      </w:pPr>
      <w:r>
        <w:rPr>
          <w:rFonts w:hint="eastAsia"/>
          <w:color w:val="auto"/>
        </w:rPr>
        <w:t>《绿色产品评价建筑玻璃》（GB/T 35604-2017）；</w:t>
      </w:r>
    </w:p>
    <w:p>
      <w:pPr>
        <w:pStyle w:val="50"/>
        <w:numPr>
          <w:ilvl w:val="0"/>
          <w:numId w:val="4"/>
        </w:numPr>
        <w:ind w:left="0" w:firstLine="560"/>
        <w:rPr>
          <w:color w:val="auto"/>
        </w:rPr>
      </w:pPr>
      <w:r>
        <w:rPr>
          <w:rFonts w:hint="eastAsia"/>
          <w:color w:val="auto"/>
        </w:rPr>
        <w:t>《预拌混凝土单位产品能源消耗限额》（GB 36888-2018）；</w:t>
      </w:r>
    </w:p>
    <w:p>
      <w:pPr>
        <w:pStyle w:val="50"/>
        <w:numPr>
          <w:ilvl w:val="0"/>
          <w:numId w:val="4"/>
        </w:numPr>
        <w:ind w:left="0" w:firstLine="560"/>
        <w:rPr>
          <w:color w:val="auto"/>
        </w:rPr>
      </w:pPr>
      <w:r>
        <w:rPr>
          <w:rFonts w:hint="eastAsia"/>
          <w:color w:val="auto"/>
        </w:rPr>
        <w:t>《饮料制造综合能耗限额》（QBT 4069-2010）；</w:t>
      </w:r>
    </w:p>
    <w:p>
      <w:pPr>
        <w:pStyle w:val="50"/>
        <w:numPr>
          <w:ilvl w:val="0"/>
          <w:numId w:val="4"/>
        </w:numPr>
        <w:ind w:left="0" w:firstLine="560"/>
        <w:rPr>
          <w:color w:val="auto"/>
        </w:rPr>
      </w:pPr>
      <w:r>
        <w:rPr>
          <w:rFonts w:hint="eastAsia"/>
          <w:color w:val="auto"/>
        </w:rPr>
        <w:t>《白酒原酒单位产品综合能耗及计算方法》（DB43T 1018-2015）；</w:t>
      </w:r>
    </w:p>
    <w:p>
      <w:pPr>
        <w:pStyle w:val="50"/>
        <w:numPr>
          <w:ilvl w:val="0"/>
          <w:numId w:val="4"/>
        </w:numPr>
        <w:ind w:left="0" w:firstLine="560"/>
        <w:rPr>
          <w:color w:val="auto"/>
        </w:rPr>
      </w:pPr>
      <w:r>
        <w:rPr>
          <w:rFonts w:hint="eastAsia"/>
          <w:color w:val="auto"/>
        </w:rPr>
        <w:t>《热电联产单位产品能源消耗限额》（GB 35574-2017）；</w:t>
      </w:r>
    </w:p>
    <w:p>
      <w:pPr>
        <w:pStyle w:val="50"/>
        <w:numPr>
          <w:ilvl w:val="0"/>
          <w:numId w:val="4"/>
        </w:numPr>
        <w:ind w:left="0" w:firstLine="560"/>
        <w:rPr>
          <w:color w:val="auto"/>
        </w:rPr>
      </w:pPr>
      <w:r>
        <w:rPr>
          <w:rFonts w:hint="eastAsia"/>
          <w:color w:val="auto"/>
        </w:rPr>
        <w:t>《机械工业工程节能设计规范》（GB 50910-2013）；</w:t>
      </w:r>
    </w:p>
    <w:p>
      <w:pPr>
        <w:pStyle w:val="50"/>
        <w:numPr>
          <w:ilvl w:val="0"/>
          <w:numId w:val="4"/>
        </w:numPr>
        <w:ind w:left="0" w:firstLine="560"/>
        <w:rPr>
          <w:color w:val="auto"/>
        </w:rPr>
      </w:pPr>
      <w:r>
        <w:rPr>
          <w:rFonts w:hint="eastAsia"/>
          <w:color w:val="auto"/>
        </w:rPr>
        <w:t>《建筑涂料单位产品能源消耗限额》（DB31</w:t>
      </w:r>
      <w:r>
        <w:rPr>
          <w:color w:val="auto"/>
        </w:rPr>
        <w:t>/</w:t>
      </w:r>
      <w:r>
        <w:rPr>
          <w:rFonts w:hint="eastAsia"/>
          <w:color w:val="auto"/>
        </w:rPr>
        <w:t>711-2013）；</w:t>
      </w:r>
    </w:p>
    <w:p>
      <w:pPr>
        <w:pStyle w:val="50"/>
        <w:numPr>
          <w:ilvl w:val="0"/>
          <w:numId w:val="4"/>
        </w:numPr>
        <w:ind w:left="0" w:firstLine="560"/>
        <w:rPr>
          <w:color w:val="auto"/>
        </w:rPr>
      </w:pPr>
      <w:r>
        <w:rPr>
          <w:rFonts w:hint="eastAsia"/>
          <w:color w:val="auto"/>
        </w:rPr>
        <w:t>《印染布可比单位综合能耗限额》（DB33</w:t>
      </w:r>
      <w:r>
        <w:rPr>
          <w:color w:val="auto"/>
        </w:rPr>
        <w:t>/</w:t>
      </w:r>
      <w:r>
        <w:rPr>
          <w:rFonts w:hint="eastAsia"/>
          <w:color w:val="auto"/>
        </w:rPr>
        <w:t>685-2013）；</w:t>
      </w:r>
    </w:p>
    <w:p>
      <w:pPr>
        <w:pStyle w:val="50"/>
        <w:numPr>
          <w:ilvl w:val="0"/>
          <w:numId w:val="4"/>
        </w:numPr>
        <w:ind w:left="0" w:firstLine="560"/>
        <w:rPr>
          <w:color w:val="auto"/>
        </w:rPr>
      </w:pPr>
      <w:r>
        <w:rPr>
          <w:rFonts w:hint="eastAsia"/>
          <w:color w:val="auto"/>
        </w:rPr>
        <w:t>《棉布单位产品可比电耗、综合能耗限额及计算方法》（DB33</w:t>
      </w:r>
      <w:r>
        <w:rPr>
          <w:color w:val="auto"/>
        </w:rPr>
        <w:t>/</w:t>
      </w:r>
      <w:r>
        <w:rPr>
          <w:rFonts w:hint="eastAsia"/>
          <w:color w:val="auto"/>
        </w:rPr>
        <w:t>757-2015）；</w:t>
      </w:r>
    </w:p>
    <w:p>
      <w:pPr>
        <w:pStyle w:val="50"/>
        <w:numPr>
          <w:ilvl w:val="0"/>
          <w:numId w:val="4"/>
        </w:numPr>
        <w:ind w:left="0" w:firstLine="560"/>
        <w:rPr>
          <w:color w:val="auto"/>
        </w:rPr>
      </w:pPr>
      <w:r>
        <w:rPr>
          <w:rFonts w:hint="eastAsia"/>
          <w:color w:val="auto"/>
        </w:rPr>
        <w:t>《棉纱单位产品可比综合电耗限额及计算方法》（DB33</w:t>
      </w:r>
      <w:r>
        <w:rPr>
          <w:color w:val="auto"/>
        </w:rPr>
        <w:t>/</w:t>
      </w:r>
      <w:r>
        <w:rPr>
          <w:rFonts w:hint="eastAsia"/>
          <w:color w:val="auto"/>
        </w:rPr>
        <w:t>758-2015）；</w:t>
      </w:r>
    </w:p>
    <w:p>
      <w:pPr>
        <w:pStyle w:val="50"/>
        <w:numPr>
          <w:ilvl w:val="0"/>
          <w:numId w:val="4"/>
        </w:numPr>
        <w:ind w:left="0" w:firstLine="560"/>
        <w:rPr>
          <w:color w:val="auto"/>
        </w:rPr>
      </w:pPr>
      <w:r>
        <w:rPr>
          <w:rFonts w:hint="eastAsia"/>
          <w:color w:val="auto"/>
        </w:rPr>
        <w:t>《机制纸板和卷烟纸单位产品能耗限额及计算方法》（DB33/686-2019）；</w:t>
      </w:r>
    </w:p>
    <w:p>
      <w:pPr>
        <w:pStyle w:val="50"/>
        <w:numPr>
          <w:ilvl w:val="0"/>
          <w:numId w:val="4"/>
        </w:numPr>
        <w:ind w:left="0" w:firstLine="560"/>
        <w:rPr>
          <w:color w:val="auto"/>
        </w:rPr>
      </w:pPr>
      <w:r>
        <w:rPr>
          <w:rFonts w:hint="eastAsia"/>
          <w:color w:val="auto"/>
        </w:rPr>
        <w:t>《能源统计工作手册》（中国统计出版社2010年）。</w:t>
      </w:r>
    </w:p>
    <w:p>
      <w:pPr>
        <w:pStyle w:val="4"/>
        <w:ind w:firstLine="602"/>
        <w:rPr>
          <w:color w:val="auto"/>
        </w:rPr>
      </w:pPr>
      <w:bookmarkStart w:id="15" w:name="_Toc40625150"/>
      <w:r>
        <w:rPr>
          <w:rFonts w:hint="eastAsia"/>
          <w:color w:val="auto"/>
        </w:rPr>
        <w:t>1.2.4相关</w:t>
      </w:r>
      <w:r>
        <w:rPr>
          <w:color w:val="auto"/>
        </w:rPr>
        <w:t>规划</w:t>
      </w:r>
      <w:bookmarkEnd w:id="15"/>
    </w:p>
    <w:p>
      <w:pPr>
        <w:pStyle w:val="50"/>
        <w:numPr>
          <w:ilvl w:val="0"/>
          <w:numId w:val="5"/>
        </w:numPr>
        <w:ind w:left="0" w:firstLine="560"/>
        <w:rPr>
          <w:color w:val="auto"/>
        </w:rPr>
      </w:pPr>
      <w:r>
        <w:rPr>
          <w:rFonts w:hint="eastAsia"/>
          <w:color w:val="auto"/>
        </w:rPr>
        <w:t>《湖北省能源发展“十三五”规划》；</w:t>
      </w:r>
    </w:p>
    <w:p>
      <w:pPr>
        <w:pStyle w:val="50"/>
        <w:numPr>
          <w:ilvl w:val="0"/>
          <w:numId w:val="5"/>
        </w:numPr>
        <w:ind w:left="0" w:firstLine="560"/>
        <w:rPr>
          <w:color w:val="auto"/>
        </w:rPr>
      </w:pPr>
      <w:r>
        <w:rPr>
          <w:rFonts w:hint="eastAsia"/>
          <w:color w:val="auto"/>
        </w:rPr>
        <w:t>《湖北省“十三五”节能减排综合工作方案》；</w:t>
      </w:r>
    </w:p>
    <w:p>
      <w:pPr>
        <w:pStyle w:val="50"/>
        <w:numPr>
          <w:ilvl w:val="0"/>
          <w:numId w:val="5"/>
        </w:numPr>
        <w:ind w:left="0" w:firstLine="560"/>
        <w:rPr>
          <w:color w:val="auto"/>
        </w:rPr>
      </w:pPr>
      <w:r>
        <w:rPr>
          <w:rFonts w:hint="eastAsia"/>
          <w:color w:val="auto"/>
        </w:rPr>
        <w:t>《湖北省应对气候变化和节能“十三五”规划》；</w:t>
      </w:r>
    </w:p>
    <w:p>
      <w:pPr>
        <w:pStyle w:val="50"/>
        <w:numPr>
          <w:ilvl w:val="0"/>
          <w:numId w:val="5"/>
        </w:numPr>
        <w:ind w:left="0" w:firstLine="560"/>
        <w:rPr>
          <w:color w:val="auto"/>
        </w:rPr>
      </w:pPr>
      <w:r>
        <w:rPr>
          <w:rFonts w:hint="eastAsia"/>
          <w:color w:val="auto"/>
        </w:rPr>
        <w:t>《湖北省可再生能源发展“十三五”规划》；</w:t>
      </w:r>
    </w:p>
    <w:p>
      <w:pPr>
        <w:pStyle w:val="50"/>
        <w:numPr>
          <w:ilvl w:val="0"/>
          <w:numId w:val="5"/>
        </w:numPr>
        <w:ind w:left="0" w:firstLine="560"/>
        <w:rPr>
          <w:color w:val="auto"/>
        </w:rPr>
      </w:pPr>
      <w:r>
        <w:rPr>
          <w:rFonts w:hint="eastAsia"/>
          <w:color w:val="auto"/>
        </w:rPr>
        <w:t>《湖北省开发区、工业园区区域性统一评价试点工作方案》；</w:t>
      </w:r>
    </w:p>
    <w:p>
      <w:pPr>
        <w:pStyle w:val="50"/>
        <w:numPr>
          <w:ilvl w:val="0"/>
          <w:numId w:val="5"/>
        </w:numPr>
        <w:ind w:firstLineChars="0"/>
        <w:rPr>
          <w:color w:val="auto"/>
        </w:rPr>
      </w:pPr>
      <w:r>
        <w:rPr>
          <w:rFonts w:hint="eastAsia"/>
          <w:color w:val="auto"/>
        </w:rPr>
        <w:t>《咸宁市能源发展与空间布局规划》（2020</w:t>
      </w:r>
      <w:r>
        <w:rPr>
          <w:color w:val="auto"/>
        </w:rPr>
        <w:t>~</w:t>
      </w:r>
      <w:r>
        <w:rPr>
          <w:rFonts w:hint="eastAsia"/>
          <w:color w:val="auto"/>
        </w:rPr>
        <w:t>2035年）；</w:t>
      </w:r>
    </w:p>
    <w:p>
      <w:pPr>
        <w:pStyle w:val="50"/>
        <w:numPr>
          <w:ilvl w:val="0"/>
          <w:numId w:val="5"/>
        </w:numPr>
        <w:ind w:firstLineChars="0"/>
        <w:rPr>
          <w:color w:val="auto"/>
        </w:rPr>
      </w:pPr>
      <w:r>
        <w:rPr>
          <w:rFonts w:hint="eastAsia"/>
          <w:color w:val="auto"/>
        </w:rPr>
        <w:t>《咸宁市区热电联产专项规划（2019</w:t>
      </w:r>
      <w:r>
        <w:rPr>
          <w:color w:val="auto"/>
        </w:rPr>
        <w:t>~</w:t>
      </w:r>
      <w:r>
        <w:rPr>
          <w:rFonts w:hint="eastAsia"/>
          <w:color w:val="auto"/>
        </w:rPr>
        <w:t>2030年）》；</w:t>
      </w:r>
    </w:p>
    <w:p>
      <w:pPr>
        <w:pStyle w:val="50"/>
        <w:numPr>
          <w:ilvl w:val="0"/>
          <w:numId w:val="5"/>
        </w:numPr>
        <w:ind w:firstLineChars="0"/>
        <w:rPr>
          <w:color w:val="auto"/>
        </w:rPr>
      </w:pPr>
      <w:r>
        <w:rPr>
          <w:rFonts w:hint="eastAsia"/>
          <w:color w:val="auto"/>
        </w:rPr>
        <w:t>《咸宁市城区供水专项规划（2012~2030）》；</w:t>
      </w:r>
    </w:p>
    <w:p>
      <w:pPr>
        <w:pStyle w:val="50"/>
        <w:numPr>
          <w:ilvl w:val="0"/>
          <w:numId w:val="5"/>
        </w:numPr>
        <w:ind w:firstLineChars="0"/>
        <w:rPr>
          <w:color w:val="auto"/>
        </w:rPr>
      </w:pPr>
      <w:r>
        <w:rPr>
          <w:rFonts w:hint="eastAsia"/>
          <w:color w:val="auto"/>
        </w:rPr>
        <w:t>《咸宁高新区“多规合一”综合发展规划》；</w:t>
      </w:r>
    </w:p>
    <w:p>
      <w:pPr>
        <w:pStyle w:val="50"/>
        <w:numPr>
          <w:ilvl w:val="0"/>
          <w:numId w:val="5"/>
        </w:numPr>
        <w:ind w:left="0" w:firstLine="560"/>
        <w:rPr>
          <w:color w:val="auto"/>
        </w:rPr>
      </w:pPr>
      <w:r>
        <w:rPr>
          <w:rFonts w:hint="eastAsia"/>
          <w:color w:val="auto"/>
        </w:rPr>
        <w:t>《咸宁高新技术产业园区国民经济和社会发展第十三个五年发展规划纲要》。</w:t>
      </w:r>
    </w:p>
    <w:p>
      <w:pPr>
        <w:pStyle w:val="3"/>
        <w:ind w:firstLine="643"/>
        <w:rPr>
          <w:color w:val="auto"/>
        </w:rPr>
      </w:pPr>
      <w:bookmarkStart w:id="16" w:name="_Toc40625151"/>
      <w:r>
        <w:rPr>
          <w:rFonts w:hint="eastAsia"/>
          <w:color w:val="auto"/>
        </w:rPr>
        <w:t>1.3评估</w:t>
      </w:r>
      <w:r>
        <w:rPr>
          <w:color w:val="auto"/>
        </w:rPr>
        <w:t>内容</w:t>
      </w:r>
      <w:r>
        <w:rPr>
          <w:rFonts w:hint="eastAsia"/>
          <w:color w:val="auto"/>
        </w:rPr>
        <w:t>和</w:t>
      </w:r>
      <w:r>
        <w:rPr>
          <w:color w:val="auto"/>
        </w:rPr>
        <w:t>重点、期限</w:t>
      </w:r>
      <w:bookmarkEnd w:id="16"/>
    </w:p>
    <w:p>
      <w:pPr>
        <w:pStyle w:val="4"/>
        <w:ind w:firstLine="602"/>
        <w:rPr>
          <w:color w:val="auto"/>
        </w:rPr>
      </w:pPr>
      <w:bookmarkStart w:id="17" w:name="_Toc40625152"/>
      <w:r>
        <w:rPr>
          <w:rFonts w:hint="eastAsia"/>
          <w:color w:val="auto"/>
        </w:rPr>
        <w:t>1.3.1评估</w:t>
      </w:r>
      <w:r>
        <w:rPr>
          <w:color w:val="auto"/>
        </w:rPr>
        <w:t>对象</w:t>
      </w:r>
      <w:bookmarkEnd w:id="17"/>
    </w:p>
    <w:p>
      <w:pPr>
        <w:ind w:firstLine="560"/>
        <w:rPr>
          <w:color w:val="auto"/>
        </w:rPr>
      </w:pPr>
      <w:r>
        <w:rPr>
          <w:rFonts w:hint="eastAsia"/>
          <w:color w:val="auto"/>
        </w:rPr>
        <w:t>评价对象界定：本次评价对象为咸宁高新区内规模以上工业企业，不包括建筑业</w:t>
      </w:r>
      <w:r>
        <w:rPr>
          <w:color w:val="auto"/>
        </w:rPr>
        <w:t>、</w:t>
      </w:r>
      <w:r>
        <w:rPr>
          <w:rFonts w:hint="eastAsia"/>
          <w:color w:val="auto"/>
        </w:rPr>
        <w:t>第一产业及第三产业。</w:t>
      </w:r>
    </w:p>
    <w:p>
      <w:pPr>
        <w:pStyle w:val="4"/>
        <w:ind w:firstLine="602"/>
        <w:rPr>
          <w:color w:val="auto"/>
        </w:rPr>
      </w:pPr>
      <w:bookmarkStart w:id="18" w:name="_Toc40625153"/>
      <w:r>
        <w:rPr>
          <w:rFonts w:hint="eastAsia"/>
          <w:color w:val="auto"/>
        </w:rPr>
        <w:t>1.3.</w:t>
      </w:r>
      <w:r>
        <w:rPr>
          <w:color w:val="auto"/>
        </w:rPr>
        <w:t>2</w:t>
      </w:r>
      <w:r>
        <w:rPr>
          <w:rFonts w:hint="eastAsia"/>
          <w:color w:val="auto"/>
        </w:rPr>
        <w:t>评估内容</w:t>
      </w:r>
      <w:r>
        <w:rPr>
          <w:color w:val="auto"/>
        </w:rPr>
        <w:t>和重点</w:t>
      </w:r>
      <w:bookmarkEnd w:id="18"/>
    </w:p>
    <w:p>
      <w:pPr>
        <w:ind w:firstLine="560"/>
        <w:rPr>
          <w:color w:val="auto"/>
        </w:rPr>
      </w:pPr>
      <w:r>
        <w:rPr>
          <w:rFonts w:hint="eastAsia"/>
          <w:color w:val="auto"/>
        </w:rPr>
        <w:t>依据《湖北省开发区、工业园区区域性统一评价试点工作方案》等文件，按要求对以下内容进行重点评价：</w:t>
      </w:r>
    </w:p>
    <w:p>
      <w:pPr>
        <w:ind w:firstLine="560"/>
        <w:rPr>
          <w:color w:val="auto"/>
        </w:rPr>
      </w:pPr>
      <w:r>
        <w:rPr>
          <w:rFonts w:hint="eastAsia"/>
          <w:color w:val="auto"/>
        </w:rPr>
        <w:t>（1）区域用能概况及产业规划：分析区域用能概况，包括能源供应条件、运输能力、现状负荷（容量）富余程度，功能网络（包括电力、热力、天然气、水等），区域余热、余压等资源。根据区域已发布的产业发展规划分析本区域产业总体定位与发展方向，项目引进原则、鼓励引进的项目和优先发展的行业、限制和禁止引进的项目和行业。</w:t>
      </w:r>
    </w:p>
    <w:p>
      <w:pPr>
        <w:ind w:firstLine="560"/>
        <w:rPr>
          <w:color w:val="auto"/>
        </w:rPr>
      </w:pPr>
      <w:r>
        <w:rPr>
          <w:rFonts w:hint="eastAsia"/>
          <w:color w:val="auto"/>
        </w:rPr>
        <w:t>（2）区域能源“双控”目标：根据区域所在地节能主管部门分解下达的考核期节能目标要求，结合区域内行业用能特点，确定本区域统计考核期内用能总量、增量及用能强度下降量。评价包括一个时期内该区域的能源消费强度和用能总量的区域能源“双控”目标。</w:t>
      </w:r>
    </w:p>
    <w:p>
      <w:pPr>
        <w:ind w:firstLine="560"/>
        <w:rPr>
          <w:color w:val="auto"/>
        </w:rPr>
      </w:pPr>
      <w:r>
        <w:rPr>
          <w:rFonts w:hint="eastAsia"/>
          <w:color w:val="auto"/>
        </w:rPr>
        <w:t>（3）区域负面清单：以高耗能行业或单位产值能耗明显高于区域能耗强度控制目标或区域能耗标准的相关行业为基础，结合区域产业发展规划，建立区域工业固定资产投资项目负面清单。对负面清单外的项目实行承诺备案管理，负面清单内的项目实行项目能评管理。</w:t>
      </w:r>
    </w:p>
    <w:p>
      <w:pPr>
        <w:ind w:firstLine="560"/>
        <w:rPr>
          <w:color w:val="auto"/>
        </w:rPr>
      </w:pPr>
      <w:r>
        <w:rPr>
          <w:rFonts w:hint="eastAsia"/>
          <w:color w:val="auto"/>
        </w:rPr>
        <w:t>（4）区域能效标准：摸清区域内不同行业单位工业产值能耗、单位产品能耗等能效现状。对照国家、湖北省已颁布实施的强制性能耗标准，对区域内各行业能效现状进行对标。根据区域内现有企业工艺技术水平，开展能效领跑者活动，推出一批区域能源利用效率领先的行业标杆，不断促进区域能效水平的提升。</w:t>
      </w:r>
    </w:p>
    <w:p>
      <w:pPr>
        <w:ind w:firstLine="560"/>
        <w:rPr>
          <w:color w:val="auto"/>
        </w:rPr>
      </w:pPr>
      <w:r>
        <w:rPr>
          <w:rFonts w:hint="eastAsia"/>
          <w:color w:val="auto"/>
        </w:rPr>
        <w:t>（5）区域节能措施：总结区域内不同行业先进的节能技术措施，主要指生产工艺、动力、建筑、给排水、暖通与空调、照明、控制、电气等方面的具体节能措施。落实各项节能管理措施，包括行业能源管理体系建设、能源统计和能源计量器具配备和管理措施等，不断提高区域能源利用效率。</w:t>
      </w:r>
    </w:p>
    <w:p>
      <w:pPr>
        <w:pStyle w:val="4"/>
        <w:ind w:firstLine="602"/>
        <w:rPr>
          <w:color w:val="auto"/>
        </w:rPr>
      </w:pPr>
      <w:bookmarkStart w:id="19" w:name="_Toc40625154"/>
      <w:r>
        <w:rPr>
          <w:rFonts w:hint="eastAsia"/>
          <w:color w:val="auto"/>
        </w:rPr>
        <w:t>1.3.</w:t>
      </w:r>
      <w:r>
        <w:rPr>
          <w:color w:val="auto"/>
        </w:rPr>
        <w:t>3</w:t>
      </w:r>
      <w:r>
        <w:rPr>
          <w:rFonts w:hint="eastAsia"/>
          <w:color w:val="auto"/>
        </w:rPr>
        <w:t>评估</w:t>
      </w:r>
      <w:r>
        <w:rPr>
          <w:color w:val="auto"/>
        </w:rPr>
        <w:t>期限</w:t>
      </w:r>
      <w:bookmarkEnd w:id="19"/>
    </w:p>
    <w:p>
      <w:pPr>
        <w:ind w:firstLine="560"/>
        <w:rPr>
          <w:color w:val="auto"/>
        </w:rPr>
      </w:pPr>
      <w:r>
        <w:rPr>
          <w:rFonts w:hint="eastAsia"/>
          <w:color w:val="auto"/>
        </w:rPr>
        <w:t>评估</w:t>
      </w:r>
      <w:r>
        <w:rPr>
          <w:color w:val="auto"/>
        </w:rPr>
        <w:t>期限：</w:t>
      </w:r>
      <w:r>
        <w:rPr>
          <w:rFonts w:hint="eastAsia"/>
          <w:color w:val="auto"/>
        </w:rPr>
        <w:t>2020</w:t>
      </w:r>
      <w:r>
        <w:rPr>
          <w:color w:val="auto"/>
        </w:rPr>
        <w:t>~2022</w:t>
      </w:r>
      <w:r>
        <w:rPr>
          <w:rFonts w:hint="eastAsia"/>
          <w:color w:val="auto"/>
        </w:rPr>
        <w:t>年</w:t>
      </w:r>
    </w:p>
    <w:p>
      <w:pPr>
        <w:ind w:firstLine="560"/>
        <w:rPr>
          <w:color w:val="auto"/>
        </w:rPr>
      </w:pPr>
      <w:r>
        <w:rPr>
          <w:rFonts w:hint="eastAsia"/>
          <w:color w:val="auto"/>
        </w:rPr>
        <w:t>评估</w:t>
      </w:r>
      <w:r>
        <w:rPr>
          <w:color w:val="auto"/>
        </w:rPr>
        <w:t>基准年：</w:t>
      </w:r>
      <w:r>
        <w:rPr>
          <w:rFonts w:hint="eastAsia"/>
          <w:color w:val="auto"/>
        </w:rPr>
        <w:t>201</w:t>
      </w:r>
      <w:r>
        <w:rPr>
          <w:color w:val="auto"/>
        </w:rPr>
        <w:t>9</w:t>
      </w:r>
      <w:r>
        <w:rPr>
          <w:rFonts w:hint="eastAsia"/>
          <w:color w:val="auto"/>
        </w:rPr>
        <w:t>年</w:t>
      </w:r>
    </w:p>
    <w:p>
      <w:pPr>
        <w:pStyle w:val="3"/>
        <w:ind w:firstLine="643"/>
        <w:rPr>
          <w:color w:val="auto"/>
        </w:rPr>
      </w:pPr>
      <w:bookmarkStart w:id="20" w:name="_Toc40625155"/>
      <w:r>
        <w:rPr>
          <w:rFonts w:hint="eastAsia"/>
          <w:color w:val="auto"/>
        </w:rPr>
        <w:t>1.4评估</w:t>
      </w:r>
      <w:r>
        <w:rPr>
          <w:color w:val="auto"/>
        </w:rPr>
        <w:t>原则和目的</w:t>
      </w:r>
      <w:bookmarkEnd w:id="20"/>
    </w:p>
    <w:p>
      <w:pPr>
        <w:pStyle w:val="4"/>
        <w:ind w:firstLine="602"/>
        <w:rPr>
          <w:color w:val="auto"/>
        </w:rPr>
      </w:pPr>
      <w:bookmarkStart w:id="21" w:name="_Toc40625156"/>
      <w:r>
        <w:rPr>
          <w:rFonts w:hint="eastAsia"/>
          <w:color w:val="auto"/>
        </w:rPr>
        <w:t>1.4.1评估</w:t>
      </w:r>
      <w:r>
        <w:rPr>
          <w:color w:val="auto"/>
        </w:rPr>
        <w:t>原则</w:t>
      </w:r>
      <w:bookmarkEnd w:id="21"/>
    </w:p>
    <w:p>
      <w:pPr>
        <w:ind w:firstLine="560"/>
        <w:rPr>
          <w:color w:val="auto"/>
        </w:rPr>
      </w:pPr>
      <w:r>
        <w:rPr>
          <w:rFonts w:hint="eastAsia"/>
          <w:color w:val="auto"/>
        </w:rPr>
        <w:t>（1）真实性原则。对所依据资料、文件和数据的真实性做出分析和判断，本着认真负责的态度对区域用能情况进行分析评价，确保评价结果的真实性。</w:t>
      </w:r>
    </w:p>
    <w:p>
      <w:pPr>
        <w:ind w:firstLine="560"/>
        <w:rPr>
          <w:color w:val="auto"/>
        </w:rPr>
      </w:pPr>
      <w:r>
        <w:rPr>
          <w:rFonts w:hint="eastAsia"/>
          <w:color w:val="auto"/>
        </w:rPr>
        <w:t>（2）科学性原则。严格按照评价目的、评价程序，从咸宁国家高新技术产业开发区实际出发，对项目相关数据、文件、资料等进行研究、计算和分析，得出科学、正确和公正的评价结论。</w:t>
      </w:r>
    </w:p>
    <w:p>
      <w:pPr>
        <w:ind w:firstLine="560"/>
        <w:rPr>
          <w:color w:val="auto"/>
        </w:rPr>
      </w:pPr>
      <w:r>
        <w:rPr>
          <w:rFonts w:hint="eastAsia"/>
          <w:color w:val="auto"/>
        </w:rPr>
        <w:t>（3）可行性原则。在评价过程中，根据区域行业特点，依据适宜的法规、政策、标准、规范，采取合理可行的评价方法，以保证区域能评工作的顺利完成。</w:t>
      </w:r>
    </w:p>
    <w:p>
      <w:pPr>
        <w:ind w:firstLine="560"/>
        <w:rPr>
          <w:color w:val="auto"/>
        </w:rPr>
      </w:pPr>
      <w:r>
        <w:rPr>
          <w:rFonts w:hint="eastAsia"/>
          <w:color w:val="auto"/>
        </w:rPr>
        <w:t>（4）独立性原则。我司将立足于自身评价技术知识和水平，客观、公正进行独立评价。</w:t>
      </w:r>
    </w:p>
    <w:p>
      <w:pPr>
        <w:pStyle w:val="4"/>
        <w:ind w:firstLine="602"/>
        <w:rPr>
          <w:color w:val="auto"/>
        </w:rPr>
      </w:pPr>
      <w:bookmarkStart w:id="22" w:name="_Toc40625157"/>
      <w:r>
        <w:rPr>
          <w:rFonts w:hint="eastAsia"/>
          <w:color w:val="auto"/>
        </w:rPr>
        <w:t>1.4.2评估</w:t>
      </w:r>
      <w:r>
        <w:rPr>
          <w:color w:val="auto"/>
        </w:rPr>
        <w:t>目的</w:t>
      </w:r>
      <w:bookmarkEnd w:id="22"/>
    </w:p>
    <w:p>
      <w:pPr>
        <w:ind w:firstLine="560"/>
        <w:rPr>
          <w:color w:val="auto"/>
        </w:rPr>
      </w:pPr>
      <w:r>
        <w:rPr>
          <w:rFonts w:hint="eastAsia"/>
          <w:color w:val="auto"/>
        </w:rPr>
        <w:t>（1）简政放权，激发活力。简化能评审批环节，减少审批项目内容，一般项目实行能评承诺备案管理，其他项目实行负面清单制度。充分发挥企业投资自主权，激发市场主体活力，加快项目落地进度，高效服务企业发展。</w:t>
      </w:r>
    </w:p>
    <w:p>
      <w:pPr>
        <w:ind w:firstLine="560"/>
        <w:rPr>
          <w:color w:val="auto"/>
        </w:rPr>
      </w:pPr>
      <w:r>
        <w:rPr>
          <w:rFonts w:hint="eastAsia"/>
          <w:color w:val="auto"/>
        </w:rPr>
        <w:t>（2）突出双控，依法监管。切实承担起能评改革和完成区域能源“双控”任务的双重责任，确保完成所在区域单位工业产值能耗和能源消费总量控制目标。建立企业用能承诺信用制度，依法开展能评事中事后监管。</w:t>
      </w:r>
    </w:p>
    <w:p>
      <w:pPr>
        <w:ind w:firstLine="560"/>
        <w:rPr>
          <w:color w:val="auto"/>
        </w:rPr>
      </w:pPr>
      <w:r>
        <w:rPr>
          <w:rFonts w:hint="eastAsia"/>
          <w:color w:val="auto"/>
        </w:rPr>
        <w:t>在咸宁国家高新技术产业开发区区域内，对工业固定资产投资项目实行“能源‘双控’+分类管理+能效标准”节能评价审查模式。对负面清单外的项目实行承诺备案管理，负面清单内的项目实行项目能评管理，最终</w:t>
      </w:r>
      <w:r>
        <w:rPr>
          <w:color w:val="auto"/>
        </w:rPr>
        <w:t>达到</w:t>
      </w:r>
      <w:r>
        <w:rPr>
          <w:rFonts w:hint="eastAsia"/>
          <w:color w:val="auto"/>
        </w:rPr>
        <w:t>简化</w:t>
      </w:r>
      <w:r>
        <w:rPr>
          <w:color w:val="auto"/>
        </w:rPr>
        <w:t>行政审批手续，服务企业和落实节能降耗目标的目的。</w:t>
      </w:r>
    </w:p>
    <w:p>
      <w:pPr>
        <w:ind w:firstLine="560"/>
        <w:rPr>
          <w:color w:val="auto"/>
        </w:rPr>
        <w:sectPr>
          <w:footerReference r:id="rId11" w:type="default"/>
          <w:pgSz w:w="11906" w:h="16838"/>
          <w:pgMar w:top="1440" w:right="1800" w:bottom="1440" w:left="1800" w:header="850" w:footer="992" w:gutter="0"/>
          <w:pgNumType w:start="1"/>
          <w:cols w:space="425" w:num="1"/>
          <w:docGrid w:type="lines" w:linePitch="381" w:charSpace="0"/>
        </w:sectPr>
      </w:pPr>
    </w:p>
    <w:p>
      <w:pPr>
        <w:pStyle w:val="2"/>
        <w:rPr>
          <w:color w:val="auto"/>
        </w:rPr>
      </w:pPr>
      <w:bookmarkStart w:id="23" w:name="_Toc40625158"/>
      <w:r>
        <w:rPr>
          <w:rFonts w:hint="eastAsia"/>
          <w:color w:val="auto"/>
        </w:rPr>
        <w:t>区域</w:t>
      </w:r>
      <w:r>
        <w:rPr>
          <w:color w:val="auto"/>
        </w:rPr>
        <w:t>产业现状</w:t>
      </w:r>
      <w:r>
        <w:rPr>
          <w:rFonts w:hint="eastAsia"/>
          <w:color w:val="auto"/>
        </w:rPr>
        <w:t>及</w:t>
      </w:r>
      <w:r>
        <w:rPr>
          <w:color w:val="auto"/>
        </w:rPr>
        <w:t>发展规划</w:t>
      </w:r>
      <w:bookmarkEnd w:id="23"/>
    </w:p>
    <w:p>
      <w:pPr>
        <w:pStyle w:val="3"/>
        <w:ind w:firstLine="643"/>
        <w:rPr>
          <w:color w:val="auto"/>
        </w:rPr>
      </w:pPr>
      <w:bookmarkStart w:id="24" w:name="_Toc40625159"/>
      <w:r>
        <w:rPr>
          <w:rFonts w:hint="eastAsia"/>
          <w:color w:val="auto"/>
        </w:rPr>
        <w:t>2.1区域产业发展现状</w:t>
      </w:r>
      <w:bookmarkEnd w:id="24"/>
    </w:p>
    <w:p>
      <w:pPr>
        <w:ind w:firstLine="560"/>
        <w:rPr>
          <w:color w:val="auto"/>
        </w:rPr>
      </w:pPr>
      <w:r>
        <w:rPr>
          <w:rFonts w:hint="eastAsia"/>
          <w:color w:val="auto"/>
        </w:rPr>
        <w:t>咸宁</w:t>
      </w:r>
      <w:r>
        <w:rPr>
          <w:color w:val="auto"/>
        </w:rPr>
        <w:t>高新区</w:t>
      </w:r>
      <w:r>
        <w:rPr>
          <w:rFonts w:hint="eastAsia"/>
          <w:color w:val="auto"/>
        </w:rPr>
        <w:t>近年来经济增长迅速，已经成为了咸宁市工业经济发展的主力军、主战场和主平台，主要经济指标得到了持续快速发展。201</w:t>
      </w:r>
      <w:r>
        <w:rPr>
          <w:color w:val="auto"/>
        </w:rPr>
        <w:t>9</w:t>
      </w:r>
      <w:r>
        <w:rPr>
          <w:rFonts w:hint="eastAsia"/>
          <w:color w:val="auto"/>
        </w:rPr>
        <w:t>年，全区实现规上工业总产值</w:t>
      </w:r>
      <w:r>
        <w:rPr>
          <w:color w:val="auto"/>
        </w:rPr>
        <w:t>178.60</w:t>
      </w:r>
      <w:r>
        <w:rPr>
          <w:rFonts w:hint="eastAsia"/>
          <w:color w:val="auto"/>
        </w:rPr>
        <w:t>亿元，较上年增长9.5</w:t>
      </w:r>
      <w:r>
        <w:rPr>
          <w:color w:val="auto"/>
        </w:rPr>
        <w:t>%</w:t>
      </w:r>
      <w:r>
        <w:rPr>
          <w:rFonts w:hint="eastAsia"/>
          <w:color w:val="auto"/>
        </w:rPr>
        <w:t>。</w:t>
      </w:r>
    </w:p>
    <w:p>
      <w:pPr>
        <w:ind w:firstLine="560"/>
        <w:rPr>
          <w:color w:val="auto"/>
        </w:rPr>
      </w:pPr>
      <w:r>
        <w:rPr>
          <w:rFonts w:hint="eastAsia"/>
          <w:color w:val="auto"/>
        </w:rPr>
        <w:t>2016</w:t>
      </w:r>
      <w:r>
        <w:rPr>
          <w:color w:val="auto"/>
        </w:rPr>
        <w:t>~2019</w:t>
      </w:r>
      <w:r>
        <w:rPr>
          <w:rFonts w:hint="eastAsia"/>
          <w:color w:val="auto"/>
        </w:rPr>
        <w:t>年，咸宁高新区规上</w:t>
      </w:r>
      <w:r>
        <w:rPr>
          <w:color w:val="auto"/>
        </w:rPr>
        <w:t>企业工业总产值如下表所示：</w:t>
      </w:r>
    </w:p>
    <w:p>
      <w:pPr>
        <w:pStyle w:val="9"/>
        <w:keepNext/>
        <w:rPr>
          <w:color w:val="auto"/>
        </w:rPr>
      </w:pPr>
      <w:r>
        <w:rPr>
          <w:rFonts w:hint="eastAsia"/>
          <w:color w:val="auto"/>
        </w:rPr>
        <w:t xml:space="preserve">表2- </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2016-20</w:t>
      </w:r>
      <w:r>
        <w:rPr>
          <w:color w:val="auto"/>
        </w:rPr>
        <w:t>19</w:t>
      </w:r>
      <w:r>
        <w:rPr>
          <w:rFonts w:hint="eastAsia"/>
          <w:color w:val="auto"/>
        </w:rPr>
        <w:t>年高新区规上</w:t>
      </w:r>
      <w:r>
        <w:rPr>
          <w:color w:val="auto"/>
        </w:rPr>
        <w:t>企业工业产值指标</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30"/>
        <w:gridCol w:w="1458"/>
        <w:gridCol w:w="1458"/>
        <w:gridCol w:w="1457"/>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513" w:type="pct"/>
            <w:vAlign w:val="center"/>
          </w:tcPr>
          <w:p>
            <w:pPr>
              <w:spacing w:line="240" w:lineRule="auto"/>
              <w:ind w:firstLine="0" w:firstLineChars="0"/>
              <w:jc w:val="center"/>
              <w:rPr>
                <w:b/>
                <w:color w:val="auto"/>
                <w:sz w:val="24"/>
              </w:rPr>
            </w:pPr>
            <w:r>
              <w:rPr>
                <w:rFonts w:hint="eastAsia"/>
                <w:b/>
                <w:color w:val="auto"/>
                <w:sz w:val="24"/>
              </w:rPr>
              <w:t>年度</w:t>
            </w:r>
          </w:p>
        </w:tc>
        <w:tc>
          <w:tcPr>
            <w:tcW w:w="872" w:type="pct"/>
            <w:vAlign w:val="center"/>
          </w:tcPr>
          <w:p>
            <w:pPr>
              <w:spacing w:line="240" w:lineRule="auto"/>
              <w:ind w:firstLine="0" w:firstLineChars="0"/>
              <w:jc w:val="center"/>
              <w:rPr>
                <w:b/>
                <w:color w:val="auto"/>
                <w:sz w:val="24"/>
              </w:rPr>
            </w:pPr>
            <w:r>
              <w:rPr>
                <w:rFonts w:hint="eastAsia"/>
                <w:b/>
                <w:color w:val="auto"/>
                <w:sz w:val="24"/>
              </w:rPr>
              <w:t>2016</w:t>
            </w:r>
          </w:p>
        </w:tc>
        <w:tc>
          <w:tcPr>
            <w:tcW w:w="872" w:type="pct"/>
            <w:vAlign w:val="center"/>
          </w:tcPr>
          <w:p>
            <w:pPr>
              <w:spacing w:line="240" w:lineRule="auto"/>
              <w:ind w:firstLine="0" w:firstLineChars="0"/>
              <w:jc w:val="center"/>
              <w:rPr>
                <w:b/>
                <w:color w:val="auto"/>
                <w:sz w:val="24"/>
              </w:rPr>
            </w:pPr>
            <w:r>
              <w:rPr>
                <w:rFonts w:hint="eastAsia"/>
                <w:b/>
                <w:color w:val="auto"/>
                <w:sz w:val="24"/>
              </w:rPr>
              <w:t>2017</w:t>
            </w:r>
          </w:p>
        </w:tc>
        <w:tc>
          <w:tcPr>
            <w:tcW w:w="871" w:type="pct"/>
            <w:vAlign w:val="center"/>
          </w:tcPr>
          <w:p>
            <w:pPr>
              <w:spacing w:line="240" w:lineRule="auto"/>
              <w:ind w:firstLine="0" w:firstLineChars="0"/>
              <w:jc w:val="center"/>
              <w:rPr>
                <w:b/>
                <w:color w:val="auto"/>
                <w:sz w:val="24"/>
              </w:rPr>
            </w:pPr>
            <w:r>
              <w:rPr>
                <w:rFonts w:hint="eastAsia"/>
                <w:b/>
                <w:color w:val="auto"/>
                <w:sz w:val="24"/>
              </w:rPr>
              <w:t>2018</w:t>
            </w:r>
          </w:p>
        </w:tc>
        <w:tc>
          <w:tcPr>
            <w:tcW w:w="872" w:type="pct"/>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513" w:type="pct"/>
            <w:vAlign w:val="center"/>
          </w:tcPr>
          <w:p>
            <w:pPr>
              <w:spacing w:line="240" w:lineRule="auto"/>
              <w:ind w:firstLine="0" w:firstLineChars="0"/>
              <w:jc w:val="center"/>
              <w:rPr>
                <w:color w:val="auto"/>
                <w:sz w:val="24"/>
              </w:rPr>
            </w:pPr>
            <w:r>
              <w:rPr>
                <w:rFonts w:hint="eastAsia"/>
                <w:color w:val="auto"/>
                <w:sz w:val="24"/>
              </w:rPr>
              <w:t>工业总产值（万元）</w:t>
            </w:r>
          </w:p>
        </w:tc>
        <w:tc>
          <w:tcPr>
            <w:tcW w:w="872" w:type="pct"/>
            <w:vAlign w:val="center"/>
          </w:tcPr>
          <w:p>
            <w:pPr>
              <w:spacing w:line="240" w:lineRule="auto"/>
              <w:ind w:firstLine="0" w:firstLineChars="0"/>
              <w:jc w:val="center"/>
              <w:rPr>
                <w:color w:val="auto"/>
                <w:sz w:val="24"/>
              </w:rPr>
            </w:pPr>
            <w:r>
              <w:rPr>
                <w:color w:val="auto"/>
                <w:sz w:val="24"/>
              </w:rPr>
              <w:t>1471266</w:t>
            </w:r>
          </w:p>
        </w:tc>
        <w:tc>
          <w:tcPr>
            <w:tcW w:w="872" w:type="pct"/>
            <w:vAlign w:val="center"/>
          </w:tcPr>
          <w:p>
            <w:pPr>
              <w:spacing w:line="240" w:lineRule="auto"/>
              <w:ind w:firstLine="0" w:firstLineChars="0"/>
              <w:jc w:val="center"/>
              <w:rPr>
                <w:color w:val="auto"/>
                <w:sz w:val="24"/>
              </w:rPr>
            </w:pPr>
            <w:r>
              <w:rPr>
                <w:color w:val="auto"/>
                <w:sz w:val="24"/>
              </w:rPr>
              <w:t>1537830</w:t>
            </w:r>
          </w:p>
        </w:tc>
        <w:tc>
          <w:tcPr>
            <w:tcW w:w="871" w:type="pct"/>
            <w:vAlign w:val="center"/>
          </w:tcPr>
          <w:p>
            <w:pPr>
              <w:spacing w:line="240" w:lineRule="auto"/>
              <w:ind w:firstLine="0" w:firstLineChars="0"/>
              <w:jc w:val="center"/>
              <w:rPr>
                <w:color w:val="auto"/>
                <w:sz w:val="24"/>
              </w:rPr>
            </w:pPr>
            <w:r>
              <w:rPr>
                <w:color w:val="auto"/>
                <w:sz w:val="24"/>
              </w:rPr>
              <w:t>1630991</w:t>
            </w:r>
          </w:p>
        </w:tc>
        <w:tc>
          <w:tcPr>
            <w:tcW w:w="872" w:type="pct"/>
            <w:vAlign w:val="center"/>
          </w:tcPr>
          <w:p>
            <w:pPr>
              <w:spacing w:line="240" w:lineRule="auto"/>
              <w:ind w:firstLine="0" w:firstLineChars="0"/>
              <w:jc w:val="center"/>
              <w:rPr>
                <w:color w:val="auto"/>
                <w:sz w:val="24"/>
              </w:rPr>
            </w:pPr>
            <w:r>
              <w:rPr>
                <w:color w:val="auto"/>
                <w:sz w:val="24"/>
              </w:rPr>
              <w:t>1785996</w:t>
            </w:r>
          </w:p>
        </w:tc>
      </w:tr>
    </w:tbl>
    <w:p>
      <w:pPr>
        <w:spacing w:line="240" w:lineRule="auto"/>
        <w:ind w:firstLine="0" w:firstLineChars="0"/>
        <w:rPr>
          <w:color w:val="auto"/>
          <w:sz w:val="22"/>
        </w:rPr>
      </w:pPr>
    </w:p>
    <w:p>
      <w:pPr>
        <w:ind w:firstLine="560"/>
        <w:rPr>
          <w:color w:val="auto"/>
        </w:rPr>
      </w:pPr>
      <w:r>
        <w:rPr>
          <w:rFonts w:hint="eastAsia"/>
          <w:color w:val="auto"/>
        </w:rPr>
        <w:t>2019年，</w:t>
      </w:r>
      <w:r>
        <w:rPr>
          <w:color w:val="auto"/>
        </w:rPr>
        <w:t>咸宁高新区</w:t>
      </w:r>
      <w:r>
        <w:rPr>
          <w:rFonts w:hint="eastAsia"/>
          <w:color w:val="auto"/>
        </w:rPr>
        <w:t>主导</w:t>
      </w:r>
      <w:r>
        <w:rPr>
          <w:color w:val="auto"/>
        </w:rPr>
        <w:t>产业产值情况如下表所示：</w:t>
      </w:r>
    </w:p>
    <w:p>
      <w:pPr>
        <w:pStyle w:val="9"/>
        <w:keepNext/>
        <w:rPr>
          <w:color w:val="auto"/>
        </w:rPr>
      </w:pPr>
      <w:r>
        <w:rPr>
          <w:rFonts w:hint="eastAsia"/>
          <w:color w:val="auto"/>
        </w:rPr>
        <w:t xml:space="preserve">表2- </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20</w:t>
      </w:r>
      <w:r>
        <w:rPr>
          <w:color w:val="auto"/>
        </w:rPr>
        <w:t>19</w:t>
      </w:r>
      <w:r>
        <w:rPr>
          <w:rFonts w:hint="eastAsia"/>
          <w:color w:val="auto"/>
        </w:rPr>
        <w:t>年高新区主导产业产值情况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14"/>
        <w:gridCol w:w="1587"/>
        <w:gridCol w:w="1587"/>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b/>
                <w:color w:val="auto"/>
                <w:sz w:val="24"/>
                <w:szCs w:val="24"/>
              </w:rPr>
            </w:pPr>
            <w:r>
              <w:rPr>
                <w:rFonts w:hint="eastAsia"/>
                <w:b/>
                <w:color w:val="auto"/>
                <w:sz w:val="24"/>
                <w:szCs w:val="24"/>
              </w:rPr>
              <w:t>产业类别</w:t>
            </w:r>
          </w:p>
        </w:tc>
        <w:tc>
          <w:tcPr>
            <w:tcW w:w="949" w:type="pct"/>
            <w:vAlign w:val="center"/>
          </w:tcPr>
          <w:p>
            <w:pPr>
              <w:spacing w:line="240" w:lineRule="auto"/>
              <w:ind w:firstLine="0" w:firstLineChars="0"/>
              <w:jc w:val="center"/>
              <w:rPr>
                <w:b/>
                <w:color w:val="auto"/>
                <w:sz w:val="24"/>
                <w:szCs w:val="24"/>
              </w:rPr>
            </w:pPr>
            <w:r>
              <w:rPr>
                <w:b/>
                <w:color w:val="auto"/>
                <w:sz w:val="24"/>
                <w:szCs w:val="24"/>
              </w:rPr>
              <w:t>2019</w:t>
            </w:r>
            <w:r>
              <w:rPr>
                <w:rFonts w:hint="eastAsia"/>
                <w:b/>
                <w:color w:val="auto"/>
                <w:sz w:val="24"/>
                <w:szCs w:val="24"/>
              </w:rPr>
              <w:t>产值</w:t>
            </w:r>
          </w:p>
          <w:p>
            <w:pPr>
              <w:spacing w:line="240" w:lineRule="auto"/>
              <w:ind w:firstLine="0" w:firstLineChars="0"/>
              <w:jc w:val="center"/>
              <w:rPr>
                <w:b/>
                <w:color w:val="auto"/>
                <w:sz w:val="24"/>
                <w:szCs w:val="24"/>
              </w:rPr>
            </w:pPr>
            <w:r>
              <w:rPr>
                <w:rFonts w:hint="eastAsia"/>
                <w:b/>
                <w:color w:val="auto"/>
                <w:sz w:val="24"/>
                <w:szCs w:val="24"/>
              </w:rPr>
              <w:t>（万元）</w:t>
            </w:r>
          </w:p>
        </w:tc>
        <w:tc>
          <w:tcPr>
            <w:tcW w:w="949" w:type="pct"/>
            <w:vAlign w:val="center"/>
          </w:tcPr>
          <w:p>
            <w:pPr>
              <w:spacing w:line="240" w:lineRule="auto"/>
              <w:ind w:firstLine="0" w:firstLineChars="0"/>
              <w:jc w:val="center"/>
              <w:rPr>
                <w:b/>
                <w:color w:val="auto"/>
                <w:sz w:val="24"/>
                <w:szCs w:val="24"/>
              </w:rPr>
            </w:pPr>
            <w:r>
              <w:rPr>
                <w:b/>
                <w:color w:val="auto"/>
                <w:sz w:val="24"/>
                <w:szCs w:val="24"/>
              </w:rPr>
              <w:t>2018</w:t>
            </w:r>
            <w:r>
              <w:rPr>
                <w:rFonts w:hint="eastAsia"/>
                <w:b/>
                <w:color w:val="auto"/>
                <w:sz w:val="24"/>
                <w:szCs w:val="24"/>
              </w:rPr>
              <w:t>产值</w:t>
            </w:r>
          </w:p>
          <w:p>
            <w:pPr>
              <w:spacing w:line="240" w:lineRule="auto"/>
              <w:ind w:firstLine="0" w:firstLineChars="0"/>
              <w:jc w:val="center"/>
              <w:rPr>
                <w:b/>
                <w:color w:val="auto"/>
                <w:sz w:val="24"/>
                <w:szCs w:val="24"/>
              </w:rPr>
            </w:pPr>
            <w:r>
              <w:rPr>
                <w:rFonts w:hint="eastAsia"/>
                <w:b/>
                <w:color w:val="auto"/>
                <w:sz w:val="24"/>
                <w:szCs w:val="24"/>
              </w:rPr>
              <w:t>（万元）</w:t>
            </w:r>
          </w:p>
        </w:tc>
        <w:tc>
          <w:tcPr>
            <w:tcW w:w="949" w:type="pct"/>
            <w:vAlign w:val="center"/>
          </w:tcPr>
          <w:p>
            <w:pPr>
              <w:spacing w:line="240" w:lineRule="auto"/>
              <w:ind w:firstLine="0" w:firstLineChars="0"/>
              <w:jc w:val="center"/>
              <w:rPr>
                <w:b/>
                <w:color w:val="auto"/>
                <w:sz w:val="24"/>
                <w:szCs w:val="24"/>
              </w:rPr>
            </w:pPr>
            <w:r>
              <w:rPr>
                <w:rFonts w:hint="eastAsia"/>
                <w:b/>
                <w:color w:val="auto"/>
                <w:sz w:val="24"/>
                <w:szCs w:val="24"/>
              </w:rPr>
              <w:t>变化幅度</w:t>
            </w:r>
          </w:p>
          <w:p>
            <w:pPr>
              <w:spacing w:line="240" w:lineRule="auto"/>
              <w:ind w:firstLine="0" w:firstLineChars="0"/>
              <w:jc w:val="center"/>
              <w:rPr>
                <w:b/>
                <w:color w:val="auto"/>
                <w:sz w:val="24"/>
                <w:szCs w:val="24"/>
              </w:rPr>
            </w:pPr>
            <w:r>
              <w:rPr>
                <w:rFonts w:hint="eastAsia"/>
                <w:b/>
                <w:color w:val="auto"/>
                <w:sz w:val="24"/>
                <w:szCs w:val="24"/>
              </w:rPr>
              <w:t>（%）</w:t>
            </w:r>
          </w:p>
        </w:tc>
        <w:tc>
          <w:tcPr>
            <w:tcW w:w="950" w:type="pct"/>
          </w:tcPr>
          <w:p>
            <w:pPr>
              <w:spacing w:line="240" w:lineRule="auto"/>
              <w:ind w:firstLine="0" w:firstLineChars="0"/>
              <w:jc w:val="center"/>
              <w:rPr>
                <w:b/>
                <w:color w:val="auto"/>
                <w:sz w:val="24"/>
                <w:szCs w:val="24"/>
              </w:rPr>
            </w:pPr>
            <w:r>
              <w:rPr>
                <w:rFonts w:hint="eastAsia"/>
                <w:b/>
                <w:color w:val="auto"/>
                <w:sz w:val="24"/>
                <w:szCs w:val="24"/>
              </w:rPr>
              <w:t>2019年产值占比（%）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食品</w:t>
            </w:r>
            <w:r>
              <w:rPr>
                <w:color w:val="auto"/>
                <w:sz w:val="24"/>
                <w:szCs w:val="24"/>
              </w:rPr>
              <w:t>饮料</w:t>
            </w:r>
          </w:p>
        </w:tc>
        <w:tc>
          <w:tcPr>
            <w:tcW w:w="949" w:type="pct"/>
            <w:vAlign w:val="center"/>
          </w:tcPr>
          <w:p>
            <w:pPr>
              <w:spacing w:line="240" w:lineRule="auto"/>
              <w:ind w:firstLine="0" w:firstLineChars="0"/>
              <w:jc w:val="center"/>
              <w:rPr>
                <w:color w:val="auto"/>
                <w:sz w:val="24"/>
                <w:szCs w:val="24"/>
              </w:rPr>
            </w:pPr>
            <w:r>
              <w:rPr>
                <w:color w:val="auto"/>
                <w:sz w:val="24"/>
                <w:szCs w:val="24"/>
              </w:rPr>
              <w:t>487041</w:t>
            </w:r>
          </w:p>
        </w:tc>
        <w:tc>
          <w:tcPr>
            <w:tcW w:w="949" w:type="pct"/>
            <w:vAlign w:val="center"/>
          </w:tcPr>
          <w:p>
            <w:pPr>
              <w:spacing w:line="240" w:lineRule="auto"/>
              <w:ind w:firstLine="0" w:firstLineChars="0"/>
              <w:jc w:val="center"/>
              <w:rPr>
                <w:color w:val="auto"/>
                <w:sz w:val="24"/>
                <w:szCs w:val="24"/>
              </w:rPr>
            </w:pPr>
            <w:r>
              <w:rPr>
                <w:color w:val="auto"/>
                <w:sz w:val="24"/>
                <w:szCs w:val="24"/>
              </w:rPr>
              <w:t>417544</w:t>
            </w:r>
          </w:p>
        </w:tc>
        <w:tc>
          <w:tcPr>
            <w:tcW w:w="949" w:type="pct"/>
            <w:vAlign w:val="center"/>
          </w:tcPr>
          <w:p>
            <w:pPr>
              <w:spacing w:line="240" w:lineRule="auto"/>
              <w:ind w:firstLine="0" w:firstLineChars="0"/>
              <w:jc w:val="center"/>
              <w:rPr>
                <w:color w:val="auto"/>
                <w:sz w:val="24"/>
                <w:szCs w:val="24"/>
              </w:rPr>
            </w:pPr>
            <w:r>
              <w:rPr>
                <w:color w:val="auto"/>
                <w:sz w:val="24"/>
                <w:szCs w:val="24"/>
              </w:rPr>
              <w:t>16.64</w:t>
            </w:r>
          </w:p>
        </w:tc>
        <w:tc>
          <w:tcPr>
            <w:tcW w:w="950" w:type="pct"/>
            <w:vAlign w:val="center"/>
          </w:tcPr>
          <w:p>
            <w:pPr>
              <w:spacing w:line="240" w:lineRule="auto"/>
              <w:ind w:firstLine="0" w:firstLineChars="0"/>
              <w:jc w:val="center"/>
              <w:rPr>
                <w:color w:val="auto"/>
                <w:sz w:val="24"/>
                <w:szCs w:val="24"/>
              </w:rPr>
            </w:pPr>
            <w:r>
              <w:rPr>
                <w:color w:val="auto"/>
                <w:sz w:val="24"/>
                <w:szCs w:val="24"/>
              </w:rPr>
              <w:t>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生物医疗</w:t>
            </w:r>
          </w:p>
        </w:tc>
        <w:tc>
          <w:tcPr>
            <w:tcW w:w="949" w:type="pct"/>
            <w:vAlign w:val="center"/>
          </w:tcPr>
          <w:p>
            <w:pPr>
              <w:spacing w:line="240" w:lineRule="auto"/>
              <w:ind w:firstLine="0" w:firstLineChars="0"/>
              <w:jc w:val="center"/>
              <w:rPr>
                <w:color w:val="auto"/>
                <w:sz w:val="24"/>
                <w:szCs w:val="24"/>
              </w:rPr>
            </w:pPr>
            <w:r>
              <w:rPr>
                <w:color w:val="auto"/>
                <w:sz w:val="24"/>
                <w:szCs w:val="24"/>
              </w:rPr>
              <w:t>188239</w:t>
            </w:r>
          </w:p>
        </w:tc>
        <w:tc>
          <w:tcPr>
            <w:tcW w:w="949" w:type="pct"/>
            <w:vAlign w:val="center"/>
          </w:tcPr>
          <w:p>
            <w:pPr>
              <w:spacing w:line="240" w:lineRule="auto"/>
              <w:ind w:firstLine="0" w:firstLineChars="0"/>
              <w:jc w:val="center"/>
              <w:rPr>
                <w:color w:val="auto"/>
                <w:sz w:val="24"/>
                <w:szCs w:val="24"/>
              </w:rPr>
            </w:pPr>
            <w:r>
              <w:rPr>
                <w:color w:val="auto"/>
                <w:sz w:val="24"/>
                <w:szCs w:val="24"/>
              </w:rPr>
              <w:t>130553</w:t>
            </w:r>
          </w:p>
        </w:tc>
        <w:tc>
          <w:tcPr>
            <w:tcW w:w="949" w:type="pct"/>
            <w:vAlign w:val="center"/>
          </w:tcPr>
          <w:p>
            <w:pPr>
              <w:spacing w:line="240" w:lineRule="auto"/>
              <w:ind w:firstLine="0" w:firstLineChars="0"/>
              <w:jc w:val="center"/>
              <w:rPr>
                <w:color w:val="auto"/>
                <w:sz w:val="24"/>
                <w:szCs w:val="24"/>
              </w:rPr>
            </w:pPr>
            <w:r>
              <w:rPr>
                <w:color w:val="auto"/>
                <w:sz w:val="24"/>
                <w:szCs w:val="24"/>
              </w:rPr>
              <w:t>44.19</w:t>
            </w:r>
          </w:p>
        </w:tc>
        <w:tc>
          <w:tcPr>
            <w:tcW w:w="950" w:type="pct"/>
            <w:vAlign w:val="center"/>
          </w:tcPr>
          <w:p>
            <w:pPr>
              <w:spacing w:line="240" w:lineRule="auto"/>
              <w:ind w:firstLine="0" w:firstLineChars="0"/>
              <w:jc w:val="center"/>
              <w:rPr>
                <w:color w:val="auto"/>
                <w:sz w:val="24"/>
                <w:szCs w:val="24"/>
              </w:rPr>
            </w:pPr>
            <w:r>
              <w:rPr>
                <w:color w:val="auto"/>
                <w:sz w:val="24"/>
                <w:szCs w:val="24"/>
              </w:rPr>
              <w:t>10.54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先进</w:t>
            </w:r>
            <w:r>
              <w:rPr>
                <w:color w:val="auto"/>
                <w:sz w:val="24"/>
                <w:szCs w:val="24"/>
              </w:rPr>
              <w:t>制造</w:t>
            </w:r>
          </w:p>
        </w:tc>
        <w:tc>
          <w:tcPr>
            <w:tcW w:w="949" w:type="pct"/>
            <w:vAlign w:val="center"/>
          </w:tcPr>
          <w:p>
            <w:pPr>
              <w:spacing w:line="240" w:lineRule="auto"/>
              <w:ind w:firstLine="0" w:firstLineChars="0"/>
              <w:jc w:val="center"/>
              <w:rPr>
                <w:color w:val="auto"/>
                <w:sz w:val="24"/>
                <w:szCs w:val="24"/>
              </w:rPr>
            </w:pPr>
            <w:r>
              <w:rPr>
                <w:color w:val="auto"/>
                <w:sz w:val="24"/>
                <w:szCs w:val="24"/>
              </w:rPr>
              <w:t>264815</w:t>
            </w:r>
          </w:p>
        </w:tc>
        <w:tc>
          <w:tcPr>
            <w:tcW w:w="949" w:type="pct"/>
            <w:vAlign w:val="center"/>
          </w:tcPr>
          <w:p>
            <w:pPr>
              <w:spacing w:line="240" w:lineRule="auto"/>
              <w:ind w:firstLine="0" w:firstLineChars="0"/>
              <w:jc w:val="center"/>
              <w:rPr>
                <w:color w:val="auto"/>
                <w:sz w:val="24"/>
                <w:szCs w:val="24"/>
              </w:rPr>
            </w:pPr>
            <w:r>
              <w:rPr>
                <w:color w:val="auto"/>
                <w:sz w:val="24"/>
                <w:szCs w:val="24"/>
              </w:rPr>
              <w:t>318218</w:t>
            </w:r>
          </w:p>
        </w:tc>
        <w:tc>
          <w:tcPr>
            <w:tcW w:w="949" w:type="pct"/>
            <w:vAlign w:val="center"/>
          </w:tcPr>
          <w:p>
            <w:pPr>
              <w:spacing w:line="240" w:lineRule="auto"/>
              <w:ind w:firstLine="0" w:firstLineChars="0"/>
              <w:jc w:val="center"/>
              <w:rPr>
                <w:color w:val="auto"/>
                <w:sz w:val="24"/>
                <w:szCs w:val="24"/>
              </w:rPr>
            </w:pPr>
            <w:r>
              <w:rPr>
                <w:color w:val="auto"/>
                <w:sz w:val="24"/>
                <w:szCs w:val="24"/>
              </w:rPr>
              <w:t>-16.78</w:t>
            </w:r>
          </w:p>
        </w:tc>
        <w:tc>
          <w:tcPr>
            <w:tcW w:w="950" w:type="pct"/>
            <w:vAlign w:val="center"/>
          </w:tcPr>
          <w:p>
            <w:pPr>
              <w:spacing w:line="240" w:lineRule="auto"/>
              <w:ind w:firstLine="0" w:firstLineChars="0"/>
              <w:jc w:val="center"/>
              <w:rPr>
                <w:color w:val="auto"/>
                <w:sz w:val="24"/>
                <w:szCs w:val="24"/>
              </w:rPr>
            </w:pPr>
            <w:r>
              <w:rPr>
                <w:color w:val="auto"/>
                <w:sz w:val="24"/>
                <w:szCs w:val="24"/>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电子</w:t>
            </w:r>
            <w:r>
              <w:rPr>
                <w:color w:val="auto"/>
                <w:sz w:val="24"/>
                <w:szCs w:val="24"/>
              </w:rPr>
              <w:t>信息</w:t>
            </w:r>
          </w:p>
        </w:tc>
        <w:tc>
          <w:tcPr>
            <w:tcW w:w="949" w:type="pct"/>
            <w:vAlign w:val="center"/>
          </w:tcPr>
          <w:p>
            <w:pPr>
              <w:spacing w:line="240" w:lineRule="auto"/>
              <w:ind w:firstLine="0" w:firstLineChars="0"/>
              <w:jc w:val="center"/>
              <w:rPr>
                <w:color w:val="auto"/>
                <w:sz w:val="24"/>
                <w:szCs w:val="24"/>
              </w:rPr>
            </w:pPr>
            <w:r>
              <w:rPr>
                <w:color w:val="auto"/>
                <w:sz w:val="24"/>
                <w:szCs w:val="24"/>
              </w:rPr>
              <w:t>172725</w:t>
            </w:r>
          </w:p>
        </w:tc>
        <w:tc>
          <w:tcPr>
            <w:tcW w:w="949" w:type="pct"/>
            <w:vAlign w:val="center"/>
          </w:tcPr>
          <w:p>
            <w:pPr>
              <w:spacing w:line="240" w:lineRule="auto"/>
              <w:ind w:firstLine="0" w:firstLineChars="0"/>
              <w:jc w:val="center"/>
              <w:rPr>
                <w:color w:val="auto"/>
                <w:sz w:val="24"/>
                <w:szCs w:val="24"/>
              </w:rPr>
            </w:pPr>
            <w:r>
              <w:rPr>
                <w:color w:val="auto"/>
                <w:sz w:val="24"/>
                <w:szCs w:val="24"/>
              </w:rPr>
              <w:t>148172</w:t>
            </w:r>
          </w:p>
        </w:tc>
        <w:tc>
          <w:tcPr>
            <w:tcW w:w="949" w:type="pct"/>
            <w:vAlign w:val="center"/>
          </w:tcPr>
          <w:p>
            <w:pPr>
              <w:spacing w:line="240" w:lineRule="auto"/>
              <w:ind w:firstLine="0" w:firstLineChars="0"/>
              <w:jc w:val="center"/>
              <w:rPr>
                <w:color w:val="auto"/>
                <w:sz w:val="24"/>
                <w:szCs w:val="24"/>
              </w:rPr>
            </w:pPr>
            <w:r>
              <w:rPr>
                <w:color w:val="auto"/>
                <w:sz w:val="24"/>
                <w:szCs w:val="24"/>
              </w:rPr>
              <w:t>16.57</w:t>
            </w:r>
          </w:p>
        </w:tc>
        <w:tc>
          <w:tcPr>
            <w:tcW w:w="950" w:type="pct"/>
            <w:vAlign w:val="center"/>
          </w:tcPr>
          <w:p>
            <w:pPr>
              <w:spacing w:line="240" w:lineRule="auto"/>
              <w:ind w:firstLine="0" w:firstLineChars="0"/>
              <w:jc w:val="center"/>
              <w:rPr>
                <w:color w:val="auto"/>
                <w:sz w:val="24"/>
                <w:szCs w:val="24"/>
              </w:rPr>
            </w:pPr>
            <w:r>
              <w:rPr>
                <w:color w:val="auto"/>
                <w:sz w:val="24"/>
                <w:szCs w:val="24"/>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新材料</w:t>
            </w:r>
          </w:p>
        </w:tc>
        <w:tc>
          <w:tcPr>
            <w:tcW w:w="949" w:type="pct"/>
            <w:vAlign w:val="center"/>
          </w:tcPr>
          <w:p>
            <w:pPr>
              <w:spacing w:line="240" w:lineRule="auto"/>
              <w:ind w:firstLine="0" w:firstLineChars="0"/>
              <w:jc w:val="center"/>
              <w:rPr>
                <w:color w:val="auto"/>
                <w:sz w:val="24"/>
                <w:szCs w:val="24"/>
              </w:rPr>
            </w:pPr>
            <w:r>
              <w:rPr>
                <w:color w:val="auto"/>
                <w:sz w:val="24"/>
                <w:szCs w:val="24"/>
              </w:rPr>
              <w:t>289757</w:t>
            </w:r>
          </w:p>
        </w:tc>
        <w:tc>
          <w:tcPr>
            <w:tcW w:w="949" w:type="pct"/>
            <w:vAlign w:val="center"/>
          </w:tcPr>
          <w:p>
            <w:pPr>
              <w:spacing w:line="240" w:lineRule="auto"/>
              <w:ind w:firstLine="0" w:firstLineChars="0"/>
              <w:jc w:val="center"/>
              <w:rPr>
                <w:color w:val="auto"/>
                <w:sz w:val="24"/>
                <w:szCs w:val="24"/>
              </w:rPr>
            </w:pPr>
            <w:r>
              <w:rPr>
                <w:color w:val="auto"/>
                <w:sz w:val="24"/>
                <w:szCs w:val="24"/>
              </w:rPr>
              <w:t>274074</w:t>
            </w:r>
          </w:p>
        </w:tc>
        <w:tc>
          <w:tcPr>
            <w:tcW w:w="949" w:type="pct"/>
            <w:vAlign w:val="center"/>
          </w:tcPr>
          <w:p>
            <w:pPr>
              <w:spacing w:line="240" w:lineRule="auto"/>
              <w:ind w:firstLine="0" w:firstLineChars="0"/>
              <w:jc w:val="center"/>
              <w:rPr>
                <w:color w:val="auto"/>
                <w:sz w:val="24"/>
                <w:szCs w:val="24"/>
              </w:rPr>
            </w:pPr>
            <w:r>
              <w:rPr>
                <w:color w:val="auto"/>
                <w:sz w:val="24"/>
                <w:szCs w:val="24"/>
              </w:rPr>
              <w:t>5.72</w:t>
            </w:r>
          </w:p>
        </w:tc>
        <w:tc>
          <w:tcPr>
            <w:tcW w:w="950" w:type="pct"/>
            <w:vAlign w:val="center"/>
          </w:tcPr>
          <w:p>
            <w:pPr>
              <w:spacing w:line="240" w:lineRule="auto"/>
              <w:ind w:firstLine="0" w:firstLineChars="0"/>
              <w:jc w:val="center"/>
              <w:rPr>
                <w:color w:val="auto"/>
                <w:sz w:val="24"/>
                <w:szCs w:val="24"/>
              </w:rPr>
            </w:pPr>
            <w:r>
              <w:rPr>
                <w:color w:val="auto"/>
                <w:sz w:val="24"/>
                <w:szCs w:val="24"/>
              </w:rPr>
              <w:t>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包装</w:t>
            </w:r>
            <w:r>
              <w:rPr>
                <w:color w:val="auto"/>
                <w:sz w:val="24"/>
                <w:szCs w:val="24"/>
              </w:rPr>
              <w:t>印刷</w:t>
            </w:r>
          </w:p>
        </w:tc>
        <w:tc>
          <w:tcPr>
            <w:tcW w:w="949" w:type="pct"/>
            <w:vAlign w:val="center"/>
          </w:tcPr>
          <w:p>
            <w:pPr>
              <w:spacing w:line="240" w:lineRule="auto"/>
              <w:ind w:firstLine="0" w:firstLineChars="0"/>
              <w:jc w:val="center"/>
              <w:rPr>
                <w:color w:val="auto"/>
                <w:sz w:val="24"/>
                <w:szCs w:val="24"/>
              </w:rPr>
            </w:pPr>
            <w:r>
              <w:rPr>
                <w:color w:val="auto"/>
                <w:sz w:val="24"/>
                <w:szCs w:val="24"/>
              </w:rPr>
              <w:t>228659</w:t>
            </w:r>
          </w:p>
        </w:tc>
        <w:tc>
          <w:tcPr>
            <w:tcW w:w="949" w:type="pct"/>
            <w:vAlign w:val="center"/>
          </w:tcPr>
          <w:p>
            <w:pPr>
              <w:spacing w:line="240" w:lineRule="auto"/>
              <w:ind w:firstLine="0" w:firstLineChars="0"/>
              <w:jc w:val="center"/>
              <w:rPr>
                <w:color w:val="auto"/>
                <w:sz w:val="24"/>
                <w:szCs w:val="24"/>
              </w:rPr>
            </w:pPr>
            <w:r>
              <w:rPr>
                <w:color w:val="auto"/>
                <w:sz w:val="24"/>
                <w:szCs w:val="24"/>
              </w:rPr>
              <w:t>190145</w:t>
            </w:r>
          </w:p>
        </w:tc>
        <w:tc>
          <w:tcPr>
            <w:tcW w:w="949" w:type="pct"/>
            <w:vAlign w:val="center"/>
          </w:tcPr>
          <w:p>
            <w:pPr>
              <w:spacing w:line="240" w:lineRule="auto"/>
              <w:ind w:firstLine="0" w:firstLineChars="0"/>
              <w:jc w:val="center"/>
              <w:rPr>
                <w:color w:val="auto"/>
                <w:sz w:val="24"/>
                <w:szCs w:val="24"/>
              </w:rPr>
            </w:pPr>
            <w:r>
              <w:rPr>
                <w:color w:val="auto"/>
                <w:sz w:val="24"/>
                <w:szCs w:val="24"/>
              </w:rPr>
              <w:t>20.26</w:t>
            </w:r>
          </w:p>
        </w:tc>
        <w:tc>
          <w:tcPr>
            <w:tcW w:w="950" w:type="pct"/>
            <w:vAlign w:val="center"/>
          </w:tcPr>
          <w:p>
            <w:pPr>
              <w:spacing w:line="240" w:lineRule="auto"/>
              <w:ind w:firstLine="0" w:firstLineChars="0"/>
              <w:jc w:val="center"/>
              <w:rPr>
                <w:color w:val="auto"/>
                <w:sz w:val="24"/>
                <w:szCs w:val="24"/>
              </w:rPr>
            </w:pPr>
            <w:r>
              <w:rPr>
                <w:color w:val="auto"/>
                <w:sz w:val="24"/>
                <w:szCs w:val="24"/>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服装</w:t>
            </w:r>
            <w:r>
              <w:rPr>
                <w:color w:val="auto"/>
                <w:sz w:val="24"/>
                <w:szCs w:val="24"/>
              </w:rPr>
              <w:t>纺织</w:t>
            </w:r>
          </w:p>
        </w:tc>
        <w:tc>
          <w:tcPr>
            <w:tcW w:w="949" w:type="pct"/>
            <w:vAlign w:val="center"/>
          </w:tcPr>
          <w:p>
            <w:pPr>
              <w:spacing w:line="240" w:lineRule="auto"/>
              <w:ind w:firstLine="0" w:firstLineChars="0"/>
              <w:jc w:val="center"/>
              <w:rPr>
                <w:color w:val="auto"/>
                <w:sz w:val="24"/>
                <w:szCs w:val="24"/>
              </w:rPr>
            </w:pPr>
            <w:r>
              <w:rPr>
                <w:color w:val="auto"/>
                <w:sz w:val="24"/>
                <w:szCs w:val="24"/>
              </w:rPr>
              <w:t>83247</w:t>
            </w:r>
          </w:p>
        </w:tc>
        <w:tc>
          <w:tcPr>
            <w:tcW w:w="949" w:type="pct"/>
            <w:vAlign w:val="center"/>
          </w:tcPr>
          <w:p>
            <w:pPr>
              <w:spacing w:line="240" w:lineRule="auto"/>
              <w:ind w:firstLine="0" w:firstLineChars="0"/>
              <w:jc w:val="center"/>
              <w:rPr>
                <w:color w:val="auto"/>
                <w:sz w:val="24"/>
                <w:szCs w:val="24"/>
              </w:rPr>
            </w:pPr>
            <w:r>
              <w:rPr>
                <w:color w:val="auto"/>
                <w:sz w:val="24"/>
                <w:szCs w:val="24"/>
              </w:rPr>
              <w:t>81347</w:t>
            </w:r>
          </w:p>
        </w:tc>
        <w:tc>
          <w:tcPr>
            <w:tcW w:w="949" w:type="pct"/>
            <w:vAlign w:val="center"/>
          </w:tcPr>
          <w:p>
            <w:pPr>
              <w:spacing w:line="240" w:lineRule="auto"/>
              <w:ind w:firstLine="0" w:firstLineChars="0"/>
              <w:jc w:val="center"/>
              <w:rPr>
                <w:color w:val="auto"/>
                <w:sz w:val="24"/>
                <w:szCs w:val="24"/>
              </w:rPr>
            </w:pPr>
            <w:r>
              <w:rPr>
                <w:color w:val="auto"/>
                <w:sz w:val="24"/>
                <w:szCs w:val="24"/>
              </w:rPr>
              <w:t>2.34</w:t>
            </w:r>
          </w:p>
        </w:tc>
        <w:tc>
          <w:tcPr>
            <w:tcW w:w="950" w:type="pct"/>
            <w:vAlign w:val="center"/>
          </w:tcPr>
          <w:p>
            <w:pPr>
              <w:spacing w:line="240" w:lineRule="auto"/>
              <w:ind w:firstLine="0" w:firstLineChars="0"/>
              <w:jc w:val="center"/>
              <w:rPr>
                <w:color w:val="auto"/>
                <w:sz w:val="24"/>
                <w:szCs w:val="24"/>
              </w:rPr>
            </w:pPr>
            <w:r>
              <w:rPr>
                <w:color w:val="auto"/>
                <w:sz w:val="24"/>
                <w:szCs w:val="24"/>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家具森</w:t>
            </w:r>
            <w:r>
              <w:rPr>
                <w:color w:val="auto"/>
                <w:sz w:val="24"/>
                <w:szCs w:val="24"/>
              </w:rPr>
              <w:t>工</w:t>
            </w:r>
          </w:p>
        </w:tc>
        <w:tc>
          <w:tcPr>
            <w:tcW w:w="949" w:type="pct"/>
            <w:vAlign w:val="center"/>
          </w:tcPr>
          <w:p>
            <w:pPr>
              <w:spacing w:line="240" w:lineRule="auto"/>
              <w:ind w:firstLine="0" w:firstLineChars="0"/>
              <w:jc w:val="center"/>
              <w:rPr>
                <w:color w:val="auto"/>
                <w:sz w:val="24"/>
                <w:szCs w:val="24"/>
              </w:rPr>
            </w:pPr>
            <w:r>
              <w:rPr>
                <w:color w:val="auto"/>
                <w:sz w:val="24"/>
                <w:szCs w:val="24"/>
              </w:rPr>
              <w:t>71512</w:t>
            </w:r>
          </w:p>
        </w:tc>
        <w:tc>
          <w:tcPr>
            <w:tcW w:w="949" w:type="pct"/>
            <w:vAlign w:val="center"/>
          </w:tcPr>
          <w:p>
            <w:pPr>
              <w:spacing w:line="240" w:lineRule="auto"/>
              <w:ind w:firstLine="0" w:firstLineChars="0"/>
              <w:jc w:val="center"/>
              <w:rPr>
                <w:color w:val="auto"/>
                <w:sz w:val="24"/>
                <w:szCs w:val="24"/>
              </w:rPr>
            </w:pPr>
            <w:r>
              <w:rPr>
                <w:color w:val="auto"/>
                <w:sz w:val="24"/>
                <w:szCs w:val="24"/>
              </w:rPr>
              <w:t>70939</w:t>
            </w:r>
          </w:p>
        </w:tc>
        <w:tc>
          <w:tcPr>
            <w:tcW w:w="949" w:type="pct"/>
            <w:vAlign w:val="center"/>
          </w:tcPr>
          <w:p>
            <w:pPr>
              <w:spacing w:line="240" w:lineRule="auto"/>
              <w:ind w:firstLine="0" w:firstLineChars="0"/>
              <w:jc w:val="center"/>
              <w:rPr>
                <w:color w:val="auto"/>
                <w:sz w:val="24"/>
                <w:szCs w:val="24"/>
              </w:rPr>
            </w:pPr>
            <w:r>
              <w:rPr>
                <w:color w:val="auto"/>
                <w:sz w:val="24"/>
                <w:szCs w:val="24"/>
              </w:rPr>
              <w:t>0.81</w:t>
            </w:r>
          </w:p>
        </w:tc>
        <w:tc>
          <w:tcPr>
            <w:tcW w:w="950" w:type="pct"/>
            <w:vAlign w:val="center"/>
          </w:tcPr>
          <w:p>
            <w:pPr>
              <w:spacing w:line="240" w:lineRule="auto"/>
              <w:ind w:firstLine="0" w:firstLineChars="0"/>
              <w:jc w:val="center"/>
              <w:rPr>
                <w:color w:val="auto"/>
                <w:sz w:val="24"/>
                <w:szCs w:val="24"/>
              </w:rPr>
            </w:pPr>
            <w:r>
              <w:rPr>
                <w:color w:val="auto"/>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04" w:type="pct"/>
            <w:vAlign w:val="center"/>
          </w:tcPr>
          <w:p>
            <w:pPr>
              <w:spacing w:line="240" w:lineRule="auto"/>
              <w:ind w:firstLine="0" w:firstLineChars="0"/>
              <w:jc w:val="center"/>
              <w:rPr>
                <w:color w:val="auto"/>
                <w:sz w:val="24"/>
                <w:szCs w:val="24"/>
              </w:rPr>
            </w:pPr>
            <w:r>
              <w:rPr>
                <w:rFonts w:hint="eastAsia"/>
                <w:color w:val="auto"/>
                <w:sz w:val="24"/>
                <w:szCs w:val="24"/>
              </w:rPr>
              <w:t>合计</w:t>
            </w:r>
          </w:p>
        </w:tc>
        <w:tc>
          <w:tcPr>
            <w:tcW w:w="949" w:type="pct"/>
            <w:vAlign w:val="center"/>
          </w:tcPr>
          <w:p>
            <w:pPr>
              <w:spacing w:line="240" w:lineRule="auto"/>
              <w:ind w:firstLine="0" w:firstLineChars="0"/>
              <w:jc w:val="center"/>
              <w:rPr>
                <w:color w:val="auto"/>
                <w:sz w:val="24"/>
                <w:szCs w:val="24"/>
              </w:rPr>
            </w:pPr>
            <w:r>
              <w:rPr>
                <w:color w:val="auto"/>
                <w:sz w:val="24"/>
                <w:szCs w:val="24"/>
              </w:rPr>
              <w:t>1785996</w:t>
            </w:r>
          </w:p>
        </w:tc>
        <w:tc>
          <w:tcPr>
            <w:tcW w:w="949" w:type="pct"/>
            <w:vAlign w:val="center"/>
          </w:tcPr>
          <w:p>
            <w:pPr>
              <w:spacing w:line="240" w:lineRule="auto"/>
              <w:ind w:firstLine="0" w:firstLineChars="0"/>
              <w:jc w:val="center"/>
              <w:rPr>
                <w:color w:val="auto"/>
                <w:sz w:val="24"/>
                <w:szCs w:val="24"/>
              </w:rPr>
            </w:pPr>
            <w:r>
              <w:rPr>
                <w:color w:val="auto"/>
                <w:sz w:val="24"/>
                <w:szCs w:val="24"/>
              </w:rPr>
              <w:t>1630991</w:t>
            </w:r>
          </w:p>
        </w:tc>
        <w:tc>
          <w:tcPr>
            <w:tcW w:w="949" w:type="pct"/>
            <w:vAlign w:val="center"/>
          </w:tcPr>
          <w:p>
            <w:pPr>
              <w:spacing w:line="240" w:lineRule="auto"/>
              <w:ind w:firstLine="0" w:firstLineChars="0"/>
              <w:jc w:val="center"/>
              <w:rPr>
                <w:color w:val="auto"/>
                <w:sz w:val="24"/>
                <w:szCs w:val="24"/>
              </w:rPr>
            </w:pPr>
            <w:r>
              <w:rPr>
                <w:color w:val="auto"/>
                <w:sz w:val="24"/>
                <w:szCs w:val="24"/>
              </w:rPr>
              <w:t>9.5</w:t>
            </w:r>
          </w:p>
        </w:tc>
        <w:tc>
          <w:tcPr>
            <w:tcW w:w="950" w:type="pct"/>
            <w:vAlign w:val="center"/>
          </w:tcPr>
          <w:p>
            <w:pPr>
              <w:spacing w:line="240" w:lineRule="auto"/>
              <w:ind w:firstLine="0" w:firstLineChars="0"/>
              <w:jc w:val="center"/>
              <w:rPr>
                <w:color w:val="auto"/>
                <w:sz w:val="24"/>
                <w:szCs w:val="24"/>
              </w:rPr>
            </w:pPr>
            <w:r>
              <w:rPr>
                <w:color w:val="auto"/>
                <w:sz w:val="24"/>
                <w:szCs w:val="24"/>
              </w:rPr>
              <w:t>100</w:t>
            </w:r>
          </w:p>
        </w:tc>
      </w:tr>
    </w:tbl>
    <w:p>
      <w:pPr>
        <w:spacing w:line="240" w:lineRule="auto"/>
        <w:ind w:firstLine="0" w:firstLineChars="0"/>
        <w:rPr>
          <w:color w:val="auto"/>
          <w:sz w:val="16"/>
        </w:rPr>
      </w:pPr>
    </w:p>
    <w:p>
      <w:pPr>
        <w:ind w:firstLine="560"/>
        <w:rPr>
          <w:color w:val="auto"/>
        </w:rPr>
      </w:pPr>
      <w:r>
        <w:rPr>
          <w:rFonts w:hint="eastAsia"/>
          <w:color w:val="auto"/>
        </w:rPr>
        <w:t>近年来，咸宁高新区实施“创新驱动、绿色崛起”双轮战略，先后引进红牛、南玻、奥瑞金、立邦等行业龙头企业，不断增强发展后劲，实现产业集聚，实力壮大，主要经济指标超出全省平均水平，增幅位居前列，园区呈现欣欣向荣的发展态势。开发区已形成了六大产业集群。一是食品饮料及</w:t>
      </w:r>
      <w:r>
        <w:rPr>
          <w:color w:val="auto"/>
        </w:rPr>
        <w:t>配套</w:t>
      </w:r>
      <w:r>
        <w:rPr>
          <w:rFonts w:hint="eastAsia"/>
          <w:color w:val="auto"/>
        </w:rPr>
        <w:t>产业，已有红牛、奥瑞金、今麦郎等国内外著名品牌企业落户；二是纺织服装产业，已有天化麻业、瑞雅毛巾、元田服装等龙头企业；三是先进装备制造产业，已建成三环方向机、合加资源、北辰汽车、金力液压等企业项目，在国家政策和产业布局的扶持下，正逐步形成中部地区机械制造业基地，着力发展汽车零部件制造、机电制造等；四是电子信息产业，已建成光宝科技、智莱科技、友邦电子等企业项目，通过加强与大型电子企业合作，逐步做强高新区电子信息产业，力求使该产业成为园区新兴的支柱产业；五是生物医药产业，已建有福人金身、厚福医疗、欣和生物、吉斯生物等企业项目；六是新材料及节能环保产业，已建成南玻光电、</w:t>
      </w:r>
      <w:r>
        <w:rPr>
          <w:color w:val="auto"/>
        </w:rPr>
        <w:t>南玻节能</w:t>
      </w:r>
      <w:r>
        <w:rPr>
          <w:rFonts w:hint="eastAsia"/>
          <w:color w:val="auto"/>
        </w:rPr>
        <w:t>、海威复合材料等企业项目，旨在带动高新区产业转型。</w:t>
      </w:r>
    </w:p>
    <w:p>
      <w:pPr>
        <w:ind w:firstLine="560"/>
        <w:rPr>
          <w:color w:val="auto"/>
        </w:rPr>
      </w:pPr>
      <w:r>
        <w:rPr>
          <w:rFonts w:hint="eastAsia"/>
          <w:color w:val="auto"/>
        </w:rPr>
        <w:t>2019年</w:t>
      </w:r>
      <w:r>
        <w:rPr>
          <w:color w:val="auto"/>
        </w:rPr>
        <w:t>，</w:t>
      </w:r>
      <w:r>
        <w:rPr>
          <w:rFonts w:hint="eastAsia"/>
          <w:color w:val="auto"/>
        </w:rPr>
        <w:t>高新区全年财政总收入达到22</w:t>
      </w:r>
      <w:r>
        <w:rPr>
          <w:color w:val="auto"/>
        </w:rPr>
        <w:t>.</w:t>
      </w:r>
      <w:r>
        <w:rPr>
          <w:rFonts w:hint="eastAsia"/>
          <w:color w:val="auto"/>
        </w:rPr>
        <w:t>8亿元，同比增长8.5％；一般公财收入达到12.84亿元，同比增长6.4％，增幅全市排名第一；税收占比91.7％，税收大户在全市十强中继续保持一半以上规上工业总产值达到178亿元，同比增长10％；规上工业增加值同比增长9.9％，比目标任务8.5％高出了14个百分点。固定资产投资145亿元，同比增长11.7％；其中工业固定资产投资104亿元，占比72.7％新入规企业12家，规上企业达到102家；新增高新技术企业10家，高新技术企业达到65家；完成高新技术产业增加值21亿元，占GDP总量的33％。咸宁高新区综合发展实力2019年在全国169家国家高新区中排名第106位，较2018年进位10位，增速全国第二；在全省省12家国家高新区中连续2年排名第5位，为2020年进入全国百强高新区打下坚实基础。</w:t>
      </w:r>
    </w:p>
    <w:p>
      <w:pPr>
        <w:ind w:firstLine="560"/>
        <w:rPr>
          <w:color w:val="auto"/>
        </w:rPr>
      </w:pPr>
      <w:r>
        <w:rPr>
          <w:rFonts w:hint="eastAsia"/>
          <w:color w:val="auto"/>
        </w:rPr>
        <w:t>2019年，</w:t>
      </w:r>
      <w:r>
        <w:rPr>
          <w:color w:val="auto"/>
        </w:rPr>
        <w:t>高新区</w:t>
      </w:r>
      <w:r>
        <w:rPr>
          <w:rFonts w:hint="eastAsia"/>
          <w:color w:val="auto"/>
        </w:rPr>
        <w:t>全年新签约项目62个，协议投资143亿元；新开工项目46个，总投资200余亿元；新投产项目40个，总投资150余亿元。29个“211”工程项目全部达到时序进度，新签约、新开工、新投产及续建项目呈现出含新量，含绿量、含金量高，开工落地快，建设周期短，投资规模大等特点，其中单个投资10亿元以上项目5个，5亿元以上项目15个，1亿元以上项目30个，金融信息港、横沟科学城引爆区重点建设项目全面开工建设。杨畈农高区核心区硬化、绿化，亮化基本完成，已流转土地近100亩，引进项目20余个，高新区三期污水处理厂等重大配套基础设施项目建成投入使用。</w:t>
      </w:r>
    </w:p>
    <w:p>
      <w:pPr>
        <w:pStyle w:val="3"/>
        <w:ind w:firstLine="643"/>
        <w:rPr>
          <w:color w:val="auto"/>
        </w:rPr>
      </w:pPr>
      <w:bookmarkStart w:id="25" w:name="_Toc40625160"/>
      <w:r>
        <w:rPr>
          <w:rFonts w:hint="eastAsia"/>
          <w:color w:val="auto"/>
        </w:rPr>
        <w:t>2.2区域产业发展规划</w:t>
      </w:r>
      <w:bookmarkEnd w:id="25"/>
    </w:p>
    <w:p>
      <w:pPr>
        <w:pStyle w:val="4"/>
        <w:ind w:firstLine="602"/>
        <w:rPr>
          <w:color w:val="auto"/>
        </w:rPr>
      </w:pPr>
      <w:bookmarkStart w:id="26" w:name="_Toc40625161"/>
      <w:r>
        <w:rPr>
          <w:rFonts w:hint="eastAsia"/>
          <w:color w:val="auto"/>
        </w:rPr>
        <w:t>2.2.1空间</w:t>
      </w:r>
      <w:r>
        <w:rPr>
          <w:color w:val="auto"/>
        </w:rPr>
        <w:t>布局规划</w:t>
      </w:r>
      <w:bookmarkEnd w:id="26"/>
    </w:p>
    <w:p>
      <w:pPr>
        <w:ind w:firstLine="560"/>
        <w:rPr>
          <w:color w:val="auto"/>
        </w:rPr>
      </w:pPr>
      <w:r>
        <w:rPr>
          <w:rFonts w:hint="eastAsia"/>
          <w:color w:val="auto"/>
        </w:rPr>
        <w:t>咸宁</w:t>
      </w:r>
      <w:r>
        <w:rPr>
          <w:color w:val="auto"/>
        </w:rPr>
        <w:t>国家</w:t>
      </w:r>
      <w:r>
        <w:rPr>
          <w:rFonts w:hint="eastAsia"/>
          <w:color w:val="auto"/>
        </w:rPr>
        <w:t>高新技术</w:t>
      </w:r>
      <w:r>
        <w:rPr>
          <w:color w:val="auto"/>
        </w:rPr>
        <w:t>产业开发区</w:t>
      </w:r>
      <w:r>
        <w:rPr>
          <w:rFonts w:hint="eastAsia"/>
          <w:color w:val="auto"/>
        </w:rPr>
        <w:t>辖区面积149</w:t>
      </w:r>
      <w:r>
        <w:rPr>
          <w:color w:val="auto"/>
        </w:rPr>
        <w:t>.27</w:t>
      </w:r>
      <w:r>
        <w:rPr>
          <w:rFonts w:hint="eastAsia"/>
          <w:color w:val="auto"/>
        </w:rPr>
        <w:t>平方公里，规划建设用地面积84平方公里，未来</w:t>
      </w:r>
      <w:r>
        <w:rPr>
          <w:color w:val="auto"/>
        </w:rPr>
        <w:t>将</w:t>
      </w:r>
      <w:r>
        <w:rPr>
          <w:rFonts w:hint="eastAsia"/>
          <w:color w:val="auto"/>
        </w:rPr>
        <w:t>重点向东部拓展，规划布局“一港两城五园”，加快产业结构调整，着力培育壮大新兴产业并转型升级优势产业。</w:t>
      </w:r>
    </w:p>
    <w:p>
      <w:pPr>
        <w:keepNext/>
        <w:ind w:firstLine="0" w:firstLineChars="0"/>
        <w:jc w:val="center"/>
        <w:rPr>
          <w:color w:val="auto"/>
        </w:rPr>
      </w:pPr>
      <w:r>
        <w:rPr>
          <w:rFonts w:hint="eastAsia"/>
          <w:color w:val="auto"/>
        </w:rPr>
        <w:drawing>
          <wp:inline distT="0" distB="0" distL="0" distR="0">
            <wp:extent cx="4941570" cy="4988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rcRect t="2325"/>
                    <a:stretch>
                      <a:fillRect/>
                    </a:stretch>
                  </pic:blipFill>
                  <pic:spPr>
                    <a:xfrm>
                      <a:off x="0" y="0"/>
                      <a:ext cx="4941916" cy="4989408"/>
                    </a:xfrm>
                    <a:prstGeom prst="rect">
                      <a:avLst/>
                    </a:prstGeom>
                    <a:ln>
                      <a:noFill/>
                    </a:ln>
                  </pic:spPr>
                </pic:pic>
              </a:graphicData>
            </a:graphic>
          </wp:inline>
        </w:drawing>
      </w:r>
    </w:p>
    <w:p>
      <w:pPr>
        <w:pStyle w:val="9"/>
        <w:rPr>
          <w:color w:val="auto"/>
        </w:rPr>
      </w:pPr>
      <w:r>
        <w:rPr>
          <w:rFonts w:hint="eastAsia"/>
          <w:color w:val="auto"/>
        </w:rPr>
        <w:t xml:space="preserve">图2- </w:t>
      </w:r>
      <w:r>
        <w:rPr>
          <w:color w:val="auto"/>
        </w:rPr>
        <w:fldChar w:fldCharType="begin"/>
      </w:r>
      <w:r>
        <w:rPr>
          <w:color w:val="auto"/>
        </w:rPr>
        <w:instrText xml:space="preserve"> </w:instrText>
      </w:r>
      <w:r>
        <w:rPr>
          <w:rFonts w:hint="eastAsia"/>
          <w:color w:val="auto"/>
        </w:rPr>
        <w:instrText xml:space="preserve">SEQ 图2-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高新区“一港两城五园”布局图</w:t>
      </w:r>
    </w:p>
    <w:p>
      <w:pPr>
        <w:ind w:firstLine="560"/>
        <w:rPr>
          <w:color w:val="auto"/>
        </w:rPr>
      </w:pPr>
      <w:r>
        <w:rPr>
          <w:rFonts w:hint="eastAsia"/>
          <w:color w:val="auto"/>
        </w:rPr>
        <w:t>（1）先进制造产业园（东湖高新咸宁园）：由317省道、武咸快速路、咸黄高速、纵二路围合而成，面积17.48平方公里。坚持创新驱动、智能转型，在吸引国内外品牌制造企业入驻的同时，依托技术领先企业，提高装备制造业自主创新能力，以关键核心技术为突破口，运用信息技术和先进适用技术对传统装备制造业进行技术改造，提高产品档次和附加值，形成较强的国内外市场竞争力，将该园区打造成为中部地区有影响力的智能装备产业发展集聚区。重点发展智能机电、特种装备、电力装备、激光加工装备、重大技术装备和高技术高附加值的船舶和汽车零部件等领域。</w:t>
      </w:r>
    </w:p>
    <w:p>
      <w:pPr>
        <w:ind w:firstLine="560"/>
        <w:rPr>
          <w:color w:val="auto"/>
        </w:rPr>
      </w:pPr>
      <w:r>
        <w:rPr>
          <w:rFonts w:hint="eastAsia"/>
          <w:color w:val="auto"/>
        </w:rPr>
        <w:t>（2）军民融合产业园：位于新107国道以东，317省道以北，面积10.66平方公里。引导先进军工技术向民用领域渗透，鼓励先进军工技术向民用领域渗透，鼓励先进成熟民用技术和产品在国防科技工业的应用。不断推进军民结合发展新机制和管理新模式，实现“产、学、研”优势互补，促进国际化高端合作。依托现有产业发展基础、科研人才、信息等资源共享平台，突出军参民、民参军等企业改制重组，加大对优势项目的扶持和培育，全力打造全省军民结合产业示范园。</w:t>
      </w:r>
    </w:p>
    <w:p>
      <w:pPr>
        <w:ind w:firstLine="560"/>
        <w:rPr>
          <w:color w:val="auto"/>
        </w:rPr>
      </w:pPr>
      <w:r>
        <w:rPr>
          <w:rFonts w:hint="eastAsia"/>
          <w:color w:val="auto"/>
        </w:rPr>
        <w:t>（3）中国光谷（咸宁）光电子信息产业园：位于咸通高速以东，咸黄高速以南，面积10.91平方公里。主要发展光通信、光纤光缆、新一代移动通信等光电子信息产业，以“互联网+”为核心，支持互联网企业加强产业协作和协同创新，做大做强互联网服务领域，加快发展智能终端领域，大力发展消费电子产业，全力打造电子信息产业集群。</w:t>
      </w:r>
    </w:p>
    <w:p>
      <w:pPr>
        <w:ind w:firstLine="560"/>
        <w:rPr>
          <w:color w:val="auto"/>
        </w:rPr>
      </w:pPr>
      <w:r>
        <w:rPr>
          <w:rFonts w:hint="eastAsia"/>
          <w:color w:val="auto"/>
        </w:rPr>
        <w:t>（4）生命健康产业园：位于京广铁路以北，面积12.83平方公里。以生物技术和生命科学为先导，深入挖掘本地中药和温泉资源，鼓励和引导医药生产、销售企业优化资源配臵，将该园区打造成中部地区特色鲜明、配套完善的生命健康产业基地。重点发展生物医药、中药现代化、生物农业和温泉疗养等领域产业。</w:t>
      </w:r>
    </w:p>
    <w:p>
      <w:pPr>
        <w:ind w:firstLine="560"/>
        <w:rPr>
          <w:color w:val="auto"/>
        </w:rPr>
      </w:pPr>
      <w:r>
        <w:rPr>
          <w:rFonts w:hint="eastAsia"/>
          <w:color w:val="auto"/>
        </w:rPr>
        <w:t>（5）高新技术综合产业园：位于规划区西部，贺胜路以西，京广铁路以东，面积13.94平方公里。以园区内现有绿色食品饮料、医疗器械和绿色建材等产业为基础，支持园区内高新技术企业扩规提质、跨越发展，形成先进产业技术集群，将该园区打造为高新技术综合产业园区，科技成果转化和科技创新创业的示范区。重点发展壮大绿色食品饮料、医疗器械、绿色建材等领域产业。</w:t>
      </w:r>
    </w:p>
    <w:p>
      <w:pPr>
        <w:pStyle w:val="4"/>
        <w:ind w:firstLine="602"/>
        <w:rPr>
          <w:color w:val="auto"/>
        </w:rPr>
      </w:pPr>
      <w:bookmarkStart w:id="27" w:name="_Toc40625162"/>
      <w:r>
        <w:rPr>
          <w:rFonts w:hint="eastAsia"/>
          <w:color w:val="auto"/>
        </w:rPr>
        <w:t>2.2.2产业体系规划</w:t>
      </w:r>
      <w:bookmarkEnd w:id="27"/>
    </w:p>
    <w:p>
      <w:pPr>
        <w:pStyle w:val="50"/>
        <w:ind w:firstLine="560"/>
        <w:rPr>
          <w:color w:val="auto"/>
        </w:rPr>
      </w:pPr>
      <w:r>
        <w:rPr>
          <w:rFonts w:hint="eastAsia"/>
          <w:color w:val="auto"/>
        </w:rPr>
        <w:t>（1）培育壮大新兴产业</w:t>
      </w:r>
    </w:p>
    <w:p>
      <w:pPr>
        <w:pStyle w:val="50"/>
        <w:ind w:firstLine="560"/>
        <w:rPr>
          <w:color w:val="auto"/>
        </w:rPr>
      </w:pPr>
      <w:r>
        <w:rPr>
          <w:rFonts w:hint="eastAsia"/>
          <w:color w:val="auto"/>
        </w:rPr>
        <w:t>1）支持新能源、环保新材料产业，全力打造示范基地</w:t>
      </w:r>
    </w:p>
    <w:p>
      <w:pPr>
        <w:ind w:firstLine="560"/>
        <w:rPr>
          <w:color w:val="auto"/>
        </w:rPr>
      </w:pPr>
      <w:r>
        <w:rPr>
          <w:rFonts w:hint="eastAsia"/>
          <w:color w:val="auto"/>
        </w:rPr>
        <w:t>以区内已有的新能源产业、新材料产业为基础，着眼于新能源、新材料未来发展方向，以南玻玻璃、海威复合材料、立邦涂料等先进水平企业为龙头，加强产业关键技术和共性技术的研究与开发，加快技术成果产业化，在新能源、新材料重点领域着力，突破和发展，努力实现产业由低端向高端发展，由小规模分散型向大规模集约型发展，建设新能源、新材料产业基地和产业示范链基地。</w:t>
      </w:r>
    </w:p>
    <w:p>
      <w:pPr>
        <w:ind w:firstLine="560"/>
        <w:rPr>
          <w:color w:val="auto"/>
        </w:rPr>
      </w:pPr>
      <w:r>
        <w:rPr>
          <w:rFonts w:hint="eastAsia"/>
          <w:color w:val="auto"/>
        </w:rPr>
        <w:t>2）跨越发展互联网、电子信息产业，打造产业集群</w:t>
      </w:r>
    </w:p>
    <w:p>
      <w:pPr>
        <w:ind w:firstLine="560"/>
        <w:rPr>
          <w:color w:val="auto"/>
        </w:rPr>
      </w:pPr>
      <w:r>
        <w:rPr>
          <w:rFonts w:hint="eastAsia"/>
          <w:color w:val="auto"/>
        </w:rPr>
        <w:t>充分发挥高新区内电子信息产业的基础优势，以光宝科技、华特电缆、奕宏精密制造、友邦电子等电子信息企业为龙头，重点引进香港万科3D 科技城项目、台郁电子及音响器材项目，大力推进关键技术突破，积极推动，大力发展消费电子产业，积极培育互联网服务、智能终端等新兴领域，全力打造电子信息产业集群。同时积极推动光电显示、半导体照明等光电子产业。</w:t>
      </w:r>
    </w:p>
    <w:p>
      <w:pPr>
        <w:ind w:firstLine="560"/>
        <w:rPr>
          <w:color w:val="auto"/>
        </w:rPr>
      </w:pPr>
      <w:r>
        <w:rPr>
          <w:rFonts w:hint="eastAsia"/>
          <w:color w:val="auto"/>
        </w:rPr>
        <w:t>3）聚“生态谷”，推动生命健康产业跨越发展</w:t>
      </w:r>
    </w:p>
    <w:p>
      <w:pPr>
        <w:ind w:firstLine="560"/>
        <w:rPr>
          <w:color w:val="auto"/>
        </w:rPr>
      </w:pPr>
      <w:r>
        <w:rPr>
          <w:rFonts w:hint="eastAsia"/>
          <w:color w:val="auto"/>
        </w:rPr>
        <w:t>以建设“生态谷”为主要抓手，以杰士邦、厚福医疗、福人金身药业、惠生药业等企业为龙头，重点发展生物制药、现代中药、医疗器械、生物农业等领域，重点引进联合药业项目、谷都生物制备天然提取生产基地、金士达医疗产业园、海王德明医药产业园等项目。鼓励和引导医药生产、销售企业优化资源配臵，实施联合重组。深入挖掘本地中药和温泉资源，将生物医药产业园打造成为中部地区特色鲜明的生物产业高地和湖北省生物产业加速发展提升的新兴基地。</w:t>
      </w:r>
    </w:p>
    <w:p>
      <w:pPr>
        <w:ind w:firstLine="560"/>
        <w:rPr>
          <w:color w:val="auto"/>
        </w:rPr>
      </w:pPr>
      <w:r>
        <w:rPr>
          <w:rFonts w:hint="eastAsia"/>
          <w:color w:val="auto"/>
        </w:rPr>
        <w:t>（2）转型升级优势产业</w:t>
      </w:r>
    </w:p>
    <w:p>
      <w:pPr>
        <w:ind w:firstLine="560"/>
        <w:rPr>
          <w:color w:val="auto"/>
        </w:rPr>
      </w:pPr>
      <w:r>
        <w:rPr>
          <w:rFonts w:hint="eastAsia"/>
          <w:color w:val="auto"/>
        </w:rPr>
        <w:t>1）全面提升先进装备制造业</w:t>
      </w:r>
    </w:p>
    <w:p>
      <w:pPr>
        <w:ind w:firstLine="560"/>
        <w:rPr>
          <w:color w:val="auto"/>
        </w:rPr>
      </w:pPr>
      <w:r>
        <w:rPr>
          <w:rFonts w:hint="eastAsia"/>
          <w:color w:val="auto"/>
        </w:rPr>
        <w:t>以提高装备制造业自主创新能力，吸引拥有自主知识产权、核心关键技术的先进装备制造业企业入驻为目标，重点发展智能机电、特种装备、汽车零部件等领域，以三环汽车方向机、北辰汽车转向系统、和乐门业智能钢质门等生产企业为龙头，加快推动、</w:t>
      </w:r>
      <w:r>
        <w:rPr>
          <w:color w:val="auto"/>
        </w:rPr>
        <w:t>引进</w:t>
      </w:r>
      <w:r>
        <w:rPr>
          <w:rFonts w:hint="eastAsia"/>
          <w:color w:val="auto"/>
        </w:rPr>
        <w:t>驰派达重型卡车转向器生产、合加环保车扩规，推进北京航科融盛无人机等一批重点项目，引领三宁机电、金力液压、三胜机械等军工材料项目扩张提质。</w:t>
      </w:r>
    </w:p>
    <w:p>
      <w:pPr>
        <w:ind w:firstLine="560"/>
        <w:rPr>
          <w:color w:val="auto"/>
        </w:rPr>
      </w:pPr>
      <w:r>
        <w:rPr>
          <w:rFonts w:hint="eastAsia"/>
          <w:color w:val="auto"/>
        </w:rPr>
        <w:t>2）稳固壮大绿色食品饮料加工产业</w:t>
      </w:r>
    </w:p>
    <w:p>
      <w:pPr>
        <w:ind w:firstLine="560"/>
        <w:rPr>
          <w:color w:val="auto"/>
        </w:rPr>
      </w:pPr>
      <w:r>
        <w:rPr>
          <w:rFonts w:hint="eastAsia"/>
          <w:color w:val="auto"/>
        </w:rPr>
        <w:t>以红牛饮料、今麦郎饮品、黄鹤楼酒业、八月花食品、好吃佬食品等企业为龙头，发展绿色食品饮料，重点发展地方特色的绿色食品，着力引进各著名食品饮品品牌，壮大饮品产业，进一步促进饮品产业链上游和下游产品的供应，形成饮料产业链；发展农副产品加工，利用高新技术加快绿色蔬菜、水产品加工业综合开发力度，扩大无公害蔬菜、湘莲、藕等的脱水保鲜和加工，加大水产品的冷冻冷藏和加工等；专业化发展食品饮品外观设计、高端印刷包装等产业链上下游环节。</w:t>
      </w:r>
    </w:p>
    <w:p>
      <w:pPr>
        <w:ind w:firstLine="560"/>
        <w:rPr>
          <w:color w:val="auto"/>
        </w:rPr>
        <w:sectPr>
          <w:pgSz w:w="11906" w:h="16838"/>
          <w:pgMar w:top="1440" w:right="1800" w:bottom="1440" w:left="1800" w:header="850" w:footer="992" w:gutter="0"/>
          <w:cols w:space="425" w:num="1"/>
          <w:docGrid w:type="lines" w:linePitch="381" w:charSpace="0"/>
        </w:sectPr>
      </w:pPr>
    </w:p>
    <w:p>
      <w:pPr>
        <w:pStyle w:val="2"/>
        <w:rPr>
          <w:color w:val="auto"/>
        </w:rPr>
      </w:pPr>
      <w:bookmarkStart w:id="28" w:name="_Toc40625163"/>
      <w:r>
        <w:rPr>
          <w:rFonts w:hint="eastAsia"/>
          <w:color w:val="auto"/>
        </w:rPr>
        <w:t>区域</w:t>
      </w:r>
      <w:r>
        <w:rPr>
          <w:color w:val="auto"/>
        </w:rPr>
        <w:t>能源供应现状及发展规划</w:t>
      </w:r>
      <w:bookmarkEnd w:id="28"/>
    </w:p>
    <w:p>
      <w:pPr>
        <w:pStyle w:val="3"/>
        <w:ind w:firstLine="643"/>
        <w:rPr>
          <w:color w:val="auto"/>
        </w:rPr>
      </w:pPr>
      <w:bookmarkStart w:id="29" w:name="_Toc40625164"/>
      <w:r>
        <w:rPr>
          <w:rFonts w:hint="eastAsia"/>
          <w:color w:val="auto"/>
        </w:rPr>
        <w:t>3.1区域</w:t>
      </w:r>
      <w:r>
        <w:rPr>
          <w:color w:val="auto"/>
        </w:rPr>
        <w:t>能源</w:t>
      </w:r>
      <w:r>
        <w:rPr>
          <w:rFonts w:hint="eastAsia"/>
          <w:color w:val="auto"/>
        </w:rPr>
        <w:t>供应</w:t>
      </w:r>
      <w:r>
        <w:rPr>
          <w:color w:val="auto"/>
        </w:rPr>
        <w:t>和使用情况</w:t>
      </w:r>
      <w:bookmarkEnd w:id="29"/>
    </w:p>
    <w:p>
      <w:pPr>
        <w:pStyle w:val="4"/>
        <w:ind w:firstLine="602"/>
        <w:rPr>
          <w:color w:val="auto"/>
        </w:rPr>
      </w:pPr>
      <w:bookmarkStart w:id="30" w:name="_Toc40625165"/>
      <w:r>
        <w:rPr>
          <w:rFonts w:hint="eastAsia"/>
          <w:color w:val="auto"/>
        </w:rPr>
        <w:t>3.1.1电力供应状况</w:t>
      </w:r>
      <w:bookmarkEnd w:id="30"/>
    </w:p>
    <w:p>
      <w:pPr>
        <w:ind w:firstLine="560"/>
        <w:rPr>
          <w:color w:val="auto"/>
        </w:rPr>
      </w:pPr>
      <w:r>
        <w:rPr>
          <w:rFonts w:hint="eastAsia"/>
          <w:color w:val="auto"/>
        </w:rPr>
        <w:t>咸宁电网处于湖北电网的最南端，东邻黄石，南承湖南，西连潜江，北接武汉，是联结湖北电网东西部的重要枢纽，是鄂赣、鄂湘电网联系的纽带，是三峡电力输送的重要通道。咸宁地区电网通过500千伏咸宁变及220千伏凤塘I回线、凤塘II回线与湖北主网相连。500千伏咸宁变、蒲圻电厂是咸宁地区电网的主要电源点，通过220千伏线路辐射全市，形成南北220千伏环网结构，电网可靠性较高。</w:t>
      </w:r>
    </w:p>
    <w:p>
      <w:pPr>
        <w:ind w:firstLine="560"/>
        <w:rPr>
          <w:color w:val="auto"/>
        </w:rPr>
      </w:pPr>
      <w:r>
        <w:rPr>
          <w:rFonts w:hint="eastAsia"/>
          <w:color w:val="auto"/>
        </w:rPr>
        <w:t>目前，咸宁电网已建成220千伏变电站10座，主变15台，总容量2490兆伏安。220千伏线路30条，总长度617.325公里（维护管辖区内）；110千伏变电站49座，主变79台，变电容量2639兆伏安。110千伏线路110条，总长度1355.83公里；35千伏变电站58座，主变101台，变电容量669.65兆伏安。35千伏线路147条，总长度1274公里。</w:t>
      </w:r>
    </w:p>
    <w:p>
      <w:pPr>
        <w:ind w:firstLine="560"/>
        <w:rPr>
          <w:color w:val="auto"/>
        </w:rPr>
      </w:pPr>
      <w:r>
        <w:rPr>
          <w:rFonts w:hint="eastAsia"/>
          <w:color w:val="auto"/>
        </w:rPr>
        <w:t>电力生产</w:t>
      </w:r>
      <w:r>
        <w:rPr>
          <w:color w:val="auto"/>
        </w:rPr>
        <w:t>方面，</w:t>
      </w:r>
      <w:r>
        <w:rPr>
          <w:rFonts w:hint="eastAsia"/>
          <w:color w:val="auto"/>
        </w:rPr>
        <w:t>咸宁市的火电厂主要有两个，包括位于赤壁市的华润蒲圻火力电厂（装机</w:t>
      </w:r>
      <w:r>
        <w:rPr>
          <w:color w:val="auto"/>
        </w:rPr>
        <w:t>容量</w:t>
      </w:r>
      <w:r>
        <w:rPr>
          <w:rFonts w:hint="eastAsia"/>
          <w:color w:val="auto"/>
        </w:rPr>
        <w:t>2660</w:t>
      </w:r>
      <w:r>
        <w:rPr>
          <w:color w:val="auto"/>
        </w:rPr>
        <w:t>MW</w:t>
      </w:r>
      <w:r>
        <w:rPr>
          <w:rFonts w:hint="eastAsia"/>
          <w:color w:val="auto"/>
        </w:rPr>
        <w:t>）和位于嘉鱼县的嘉能火力电厂（装机</w:t>
      </w:r>
      <w:r>
        <w:rPr>
          <w:color w:val="auto"/>
        </w:rPr>
        <w:t>容量</w:t>
      </w:r>
      <w:r>
        <w:rPr>
          <w:rFonts w:hint="eastAsia"/>
          <w:color w:val="auto"/>
        </w:rPr>
        <w:t>6</w:t>
      </w:r>
      <w:r>
        <w:rPr>
          <w:color w:val="auto"/>
        </w:rPr>
        <w:t>MW</w:t>
      </w:r>
      <w:r>
        <w:rPr>
          <w:rFonts w:hint="eastAsia"/>
          <w:color w:val="auto"/>
        </w:rPr>
        <w:t>），两个火力发电厂实际发电量达到咸宁市装机发电总量的90%左右；全市已建成的水能发电项目主要分布在赤壁市（5处）、通山县（9处）以及通城县（10处），水电站装机容量17</w:t>
      </w:r>
      <w:r>
        <w:rPr>
          <w:color w:val="auto"/>
        </w:rPr>
        <w:t>5.7M</w:t>
      </w:r>
      <w:r>
        <w:rPr>
          <w:rFonts w:hint="eastAsia"/>
          <w:color w:val="auto"/>
        </w:rPr>
        <w:t>W（含陆水电厂4.32万千瓦）；全市已建成的风电场为通山九宫山风电场和通城黄龙山风电场，</w:t>
      </w:r>
      <w:r>
        <w:rPr>
          <w:color w:val="auto"/>
        </w:rPr>
        <w:t>合计</w:t>
      </w:r>
      <w:r>
        <w:rPr>
          <w:rFonts w:hint="eastAsia"/>
          <w:color w:val="auto"/>
        </w:rPr>
        <w:t>装机</w:t>
      </w:r>
      <w:r>
        <w:rPr>
          <w:color w:val="auto"/>
        </w:rPr>
        <w:t>容量</w:t>
      </w:r>
      <w:r>
        <w:rPr>
          <w:rFonts w:hint="eastAsia"/>
          <w:color w:val="auto"/>
        </w:rPr>
        <w:t>23.6</w:t>
      </w:r>
      <w:r>
        <w:rPr>
          <w:color w:val="auto"/>
        </w:rPr>
        <w:t>MW</w:t>
      </w:r>
      <w:r>
        <w:rPr>
          <w:rFonts w:hint="eastAsia"/>
          <w:color w:val="auto"/>
        </w:rPr>
        <w:t>；全市已建光伏发电项目合计</w:t>
      </w:r>
      <w:r>
        <w:rPr>
          <w:color w:val="auto"/>
        </w:rPr>
        <w:t>装机容量92.50MW</w:t>
      </w:r>
      <w:r>
        <w:rPr>
          <w:rFonts w:hint="eastAsia"/>
          <w:color w:val="auto"/>
        </w:rPr>
        <w:t>；全市</w:t>
      </w:r>
      <w:r>
        <w:rPr>
          <w:color w:val="auto"/>
        </w:rPr>
        <w:t>生物质及垃圾发电</w:t>
      </w:r>
      <w:r>
        <w:rPr>
          <w:rFonts w:hint="eastAsia"/>
          <w:color w:val="auto"/>
        </w:rPr>
        <w:t>厂共</w:t>
      </w:r>
      <w:r>
        <w:rPr>
          <w:color w:val="auto"/>
        </w:rPr>
        <w:t>3座</w:t>
      </w:r>
      <w:r>
        <w:rPr>
          <w:rFonts w:hint="eastAsia"/>
          <w:color w:val="auto"/>
        </w:rPr>
        <w:t>，</w:t>
      </w:r>
      <w:r>
        <w:rPr>
          <w:color w:val="auto"/>
        </w:rPr>
        <w:t>合计</w:t>
      </w:r>
      <w:r>
        <w:rPr>
          <w:rFonts w:hint="eastAsia"/>
          <w:color w:val="auto"/>
        </w:rPr>
        <w:t>装机</w:t>
      </w:r>
      <w:r>
        <w:rPr>
          <w:color w:val="auto"/>
        </w:rPr>
        <w:t>容量72MW</w:t>
      </w:r>
      <w:r>
        <w:rPr>
          <w:rFonts w:hint="eastAsia"/>
          <w:color w:val="auto"/>
        </w:rPr>
        <w:t>。</w:t>
      </w:r>
    </w:p>
    <w:p>
      <w:pPr>
        <w:ind w:firstLine="560"/>
        <w:rPr>
          <w:color w:val="auto"/>
        </w:rPr>
      </w:pPr>
      <w:r>
        <w:rPr>
          <w:rFonts w:hint="eastAsia"/>
          <w:color w:val="auto"/>
        </w:rPr>
        <w:t>目前</w:t>
      </w:r>
      <w:r>
        <w:rPr>
          <w:color w:val="auto"/>
        </w:rPr>
        <w:t>，</w:t>
      </w:r>
      <w:r>
        <w:rPr>
          <w:rFonts w:hint="eastAsia"/>
          <w:color w:val="auto"/>
        </w:rPr>
        <w:t>咸宁高新区规范范围</w:t>
      </w:r>
      <w:r>
        <w:rPr>
          <w:color w:val="auto"/>
        </w:rPr>
        <w:t>内</w:t>
      </w:r>
      <w:r>
        <w:rPr>
          <w:rFonts w:hint="eastAsia"/>
          <w:color w:val="auto"/>
        </w:rPr>
        <w:t>现有1座220</w:t>
      </w:r>
      <w:r>
        <w:rPr>
          <w:color w:val="auto"/>
        </w:rPr>
        <w:t>k</w:t>
      </w:r>
      <w:r>
        <w:rPr>
          <w:rFonts w:hint="eastAsia"/>
          <w:color w:val="auto"/>
        </w:rPr>
        <w:t>V孙田变电站、1座110</w:t>
      </w:r>
      <w:r>
        <w:rPr>
          <w:color w:val="auto"/>
        </w:rPr>
        <w:t>k</w:t>
      </w:r>
      <w:r>
        <w:rPr>
          <w:rFonts w:hint="eastAsia"/>
          <w:color w:val="auto"/>
        </w:rPr>
        <w:t>V的横沟变、110</w:t>
      </w:r>
      <w:r>
        <w:rPr>
          <w:color w:val="auto"/>
        </w:rPr>
        <w:t>k</w:t>
      </w:r>
      <w:r>
        <w:rPr>
          <w:rFonts w:hint="eastAsia"/>
          <w:color w:val="auto"/>
        </w:rPr>
        <w:t>V栗林变、110</w:t>
      </w:r>
      <w:r>
        <w:rPr>
          <w:color w:val="auto"/>
        </w:rPr>
        <w:t>k</w:t>
      </w:r>
      <w:r>
        <w:rPr>
          <w:rFonts w:hint="eastAsia"/>
          <w:color w:val="auto"/>
        </w:rPr>
        <w:t>V浮山变，与周边的110</w:t>
      </w:r>
      <w:r>
        <w:rPr>
          <w:color w:val="auto"/>
        </w:rPr>
        <w:t>k</w:t>
      </w:r>
      <w:r>
        <w:rPr>
          <w:rFonts w:hint="eastAsia"/>
          <w:color w:val="auto"/>
        </w:rPr>
        <w:t>V永安变一同为高新区供电。现状供电容量达到31万</w:t>
      </w:r>
      <w:r>
        <w:rPr>
          <w:color w:val="auto"/>
        </w:rPr>
        <w:t>k</w:t>
      </w:r>
      <w:r>
        <w:rPr>
          <w:rFonts w:hint="eastAsia"/>
          <w:color w:val="auto"/>
        </w:rPr>
        <w:t>W。</w:t>
      </w:r>
    </w:p>
    <w:p>
      <w:pPr>
        <w:pStyle w:val="4"/>
        <w:ind w:firstLine="602"/>
        <w:rPr>
          <w:color w:val="auto"/>
        </w:rPr>
      </w:pPr>
      <w:bookmarkStart w:id="31" w:name="_Toc40625166"/>
      <w:r>
        <w:rPr>
          <w:color w:val="auto"/>
        </w:rPr>
        <w:t>3.1.2</w:t>
      </w:r>
      <w:r>
        <w:rPr>
          <w:rFonts w:hint="eastAsia"/>
          <w:color w:val="auto"/>
        </w:rPr>
        <w:t>天然气供应状况</w:t>
      </w:r>
      <w:bookmarkEnd w:id="31"/>
    </w:p>
    <w:p>
      <w:pPr>
        <w:ind w:firstLine="560"/>
        <w:rPr>
          <w:color w:val="auto"/>
        </w:rPr>
      </w:pPr>
      <w:r>
        <w:rPr>
          <w:rFonts w:hint="eastAsia"/>
          <w:color w:val="auto"/>
        </w:rPr>
        <w:t>咸宁市已建成两条天然气长输管道：第一条线从江夏五里界分输站接入，直达咸宁高新技术产业园区，规划延伸至通山县；第二条线从江夏安山分输站接入，经嘉鱼、赤壁、崇阳，终点到达通城。</w:t>
      </w:r>
    </w:p>
    <w:p>
      <w:pPr>
        <w:ind w:firstLine="560"/>
        <w:rPr>
          <w:color w:val="auto"/>
        </w:rPr>
      </w:pPr>
      <w:r>
        <w:rPr>
          <w:rFonts w:hint="eastAsia"/>
          <w:color w:val="auto"/>
        </w:rPr>
        <w:t>咸宁市中心城区由咸宁中石油昆仑燃气有限公司经营。中石油昆仑燃气咸宁市天然气管道起点为忠武线武汉东计量站（位于武汉市江夏区五里界乡），终点在咸宁高新技术产业园区咸宁天然气门站，全长59.3公里，基本与107国道、京广铁路、武咸城际铁路及纸坊-咸宁公路平行敷设，途经江夏区五里界乡、乌龙泉镇、土地堂、山坡乡、贺站乡，咸安区贺胜桥镇，终点到咸宁高新技术产业园区。其中江夏区线长38.21公里，咸宁市线长21.09公里。目前，咸宁昆仑燃气目前已完成城区</w:t>
      </w:r>
      <w:r>
        <w:rPr>
          <w:color w:val="auto"/>
        </w:rPr>
        <w:t>内</w:t>
      </w:r>
      <w:r>
        <w:rPr>
          <w:rFonts w:hint="eastAsia"/>
          <w:color w:val="auto"/>
        </w:rPr>
        <w:t>600余公里天然气管道建设，开发各类天然气用户12.2万户，供应天然气7.48亿立方米，其中2018年供气量为1.5亿立方米。</w:t>
      </w:r>
    </w:p>
    <w:p>
      <w:pPr>
        <w:ind w:firstLine="560"/>
        <w:rPr>
          <w:color w:val="auto"/>
        </w:rPr>
      </w:pPr>
      <w:r>
        <w:rPr>
          <w:rFonts w:hint="eastAsia"/>
          <w:color w:val="auto"/>
        </w:rPr>
        <w:t>湖北省天然气公司武赤天然气管道是“武汉-赤壁-通城”天然气输气管道的一期工程，全长73.4km，沿线起于武汉市江夏区安山门站、经嘉鱼县到赤壁市，咸宁境内设有嘉鱼分输站、赤壁分输站和潘家湾、新街、毕家畈3座阀室。目前是嘉鱼县、赤壁市城区和咸宁华润城投燃气公司的主供气源。</w:t>
      </w:r>
    </w:p>
    <w:p>
      <w:pPr>
        <w:pStyle w:val="9"/>
        <w:keepNext/>
        <w:rPr>
          <w:color w:val="auto"/>
        </w:rPr>
      </w:pPr>
      <w:r>
        <w:rPr>
          <w:rFonts w:hint="eastAsia"/>
          <w:color w:val="auto"/>
        </w:rPr>
        <w:t xml:space="preserve">表3- </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2017</w:t>
      </w:r>
      <w:r>
        <w:rPr>
          <w:rFonts w:hint="eastAsia"/>
          <w:color w:val="auto"/>
        </w:rPr>
        <w:t>年</w:t>
      </w:r>
      <w:r>
        <w:rPr>
          <w:color w:val="auto"/>
        </w:rPr>
        <w:t>咸宁市天然气</w:t>
      </w:r>
      <w:r>
        <w:rPr>
          <w:rFonts w:hint="eastAsia"/>
          <w:color w:val="auto"/>
        </w:rPr>
        <w:t>利用</w:t>
      </w:r>
      <w:r>
        <w:rPr>
          <w:color w:val="auto"/>
        </w:rPr>
        <w:t>统计</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885"/>
        <w:gridCol w:w="240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b/>
                <w:color w:val="auto"/>
                <w:sz w:val="24"/>
              </w:rPr>
            </w:pPr>
            <w:r>
              <w:rPr>
                <w:rFonts w:hint="eastAsia"/>
                <w:b/>
                <w:color w:val="auto"/>
                <w:sz w:val="24"/>
              </w:rPr>
              <w:t>天然气工程</w:t>
            </w:r>
            <w:r>
              <w:rPr>
                <w:b/>
                <w:color w:val="auto"/>
                <w:sz w:val="24"/>
              </w:rPr>
              <w:t>名称</w:t>
            </w:r>
          </w:p>
        </w:tc>
        <w:tc>
          <w:tcPr>
            <w:tcW w:w="2409" w:type="dxa"/>
            <w:vAlign w:val="center"/>
          </w:tcPr>
          <w:p>
            <w:pPr>
              <w:spacing w:line="240" w:lineRule="auto"/>
              <w:ind w:firstLine="0" w:firstLineChars="0"/>
              <w:jc w:val="center"/>
              <w:rPr>
                <w:b/>
                <w:color w:val="auto"/>
                <w:sz w:val="24"/>
              </w:rPr>
            </w:pPr>
            <w:r>
              <w:rPr>
                <w:rFonts w:hint="eastAsia"/>
                <w:b/>
                <w:color w:val="auto"/>
                <w:sz w:val="24"/>
              </w:rPr>
              <w:t>经营公司</w:t>
            </w:r>
          </w:p>
        </w:tc>
        <w:tc>
          <w:tcPr>
            <w:tcW w:w="2126" w:type="dxa"/>
            <w:vAlign w:val="center"/>
          </w:tcPr>
          <w:p>
            <w:pPr>
              <w:spacing w:line="240" w:lineRule="auto"/>
              <w:ind w:firstLine="0" w:firstLineChars="0"/>
              <w:jc w:val="center"/>
              <w:rPr>
                <w:b/>
                <w:color w:val="auto"/>
                <w:sz w:val="24"/>
              </w:rPr>
            </w:pPr>
            <w:r>
              <w:rPr>
                <w:rFonts w:hint="eastAsia"/>
                <w:b/>
                <w:color w:val="auto"/>
                <w:sz w:val="24"/>
              </w:rPr>
              <w:t>年销气量（万m</w:t>
            </w:r>
            <w:r>
              <w:rPr>
                <w:b/>
                <w:color w:val="auto"/>
                <w:sz w:val="24"/>
                <w:vertAlign w:val="superscript"/>
              </w:rPr>
              <w:t>3</w:t>
            </w:r>
            <w:r>
              <w:rPr>
                <w:rFonts w:hint="eastAsia"/>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咸宁市中心城区天然气利用工程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咸宁昆仑</w:t>
            </w:r>
            <w:r>
              <w:rPr>
                <w:color w:val="auto"/>
                <w:sz w:val="24"/>
              </w:rPr>
              <w:t>燃气</w:t>
            </w:r>
          </w:p>
        </w:tc>
        <w:tc>
          <w:tcPr>
            <w:tcW w:w="2126" w:type="dxa"/>
            <w:vAlign w:val="center"/>
          </w:tcPr>
          <w:p>
            <w:pPr>
              <w:spacing w:line="240" w:lineRule="auto"/>
              <w:ind w:firstLine="0" w:firstLineChars="0"/>
              <w:jc w:val="center"/>
              <w:rPr>
                <w:color w:val="auto"/>
                <w:sz w:val="24"/>
              </w:rPr>
            </w:pPr>
            <w:r>
              <w:rPr>
                <w:color w:val="auto"/>
                <w:sz w:val="24"/>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咸宁市新城区天然气利用工程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咸宁华润城投</w:t>
            </w:r>
          </w:p>
        </w:tc>
        <w:tc>
          <w:tcPr>
            <w:tcW w:w="2126" w:type="dxa"/>
            <w:vAlign w:val="center"/>
          </w:tcPr>
          <w:p>
            <w:pPr>
              <w:spacing w:line="240" w:lineRule="auto"/>
              <w:ind w:firstLine="0" w:firstLineChars="0"/>
              <w:jc w:val="center"/>
              <w:rPr>
                <w:color w:val="auto"/>
                <w:sz w:val="24"/>
              </w:rPr>
            </w:pPr>
            <w:r>
              <w:rPr>
                <w:color w:val="auto"/>
                <w:sz w:val="24"/>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嘉鱼县中心城区天然气利用工程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湖北大秦翔远</w:t>
            </w:r>
          </w:p>
        </w:tc>
        <w:tc>
          <w:tcPr>
            <w:tcW w:w="2126" w:type="dxa"/>
            <w:vAlign w:val="center"/>
          </w:tcPr>
          <w:p>
            <w:pPr>
              <w:spacing w:line="240" w:lineRule="auto"/>
              <w:ind w:firstLine="0" w:firstLineChars="0"/>
              <w:jc w:val="center"/>
              <w:rPr>
                <w:color w:val="auto"/>
                <w:sz w:val="24"/>
              </w:rPr>
            </w:pPr>
            <w:r>
              <w:rPr>
                <w:color w:val="auto"/>
                <w:sz w:val="24"/>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嘉鱼县潘家湾镇天然气利用项目</w:t>
            </w:r>
          </w:p>
        </w:tc>
        <w:tc>
          <w:tcPr>
            <w:tcW w:w="2409" w:type="dxa"/>
            <w:vAlign w:val="center"/>
          </w:tcPr>
          <w:p>
            <w:pPr>
              <w:spacing w:line="240" w:lineRule="auto"/>
              <w:ind w:firstLine="0" w:firstLineChars="0"/>
              <w:jc w:val="center"/>
              <w:rPr>
                <w:color w:val="auto"/>
                <w:sz w:val="24"/>
              </w:rPr>
            </w:pPr>
            <w:r>
              <w:rPr>
                <w:rFonts w:hint="eastAsia"/>
                <w:color w:val="auto"/>
                <w:sz w:val="24"/>
              </w:rPr>
              <w:t>西安华通公司</w:t>
            </w:r>
          </w:p>
        </w:tc>
        <w:tc>
          <w:tcPr>
            <w:tcW w:w="2126" w:type="dxa"/>
            <w:vAlign w:val="center"/>
          </w:tcPr>
          <w:p>
            <w:pPr>
              <w:spacing w:line="240" w:lineRule="auto"/>
              <w:ind w:firstLine="0" w:firstLineChars="0"/>
              <w:jc w:val="center"/>
              <w:rPr>
                <w:color w:val="auto"/>
                <w:sz w:val="24"/>
              </w:rPr>
            </w:pPr>
            <w:r>
              <w:rPr>
                <w:color w:val="auto"/>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赤壁市城市城区天然气利用工程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赤壁华润燃气</w:t>
            </w:r>
          </w:p>
        </w:tc>
        <w:tc>
          <w:tcPr>
            <w:tcW w:w="2126" w:type="dxa"/>
            <w:vAlign w:val="center"/>
          </w:tcPr>
          <w:p>
            <w:pPr>
              <w:spacing w:line="240" w:lineRule="auto"/>
              <w:ind w:firstLine="0" w:firstLineChars="0"/>
              <w:jc w:val="center"/>
              <w:rPr>
                <w:color w:val="auto"/>
                <w:sz w:val="24"/>
              </w:rPr>
            </w:pPr>
            <w:r>
              <w:rPr>
                <w:color w:val="auto"/>
                <w:sz w:val="24"/>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通城县城市城区天然气利用工程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省天通城公司</w:t>
            </w:r>
          </w:p>
        </w:tc>
        <w:tc>
          <w:tcPr>
            <w:tcW w:w="2126" w:type="dxa"/>
            <w:vAlign w:val="center"/>
          </w:tcPr>
          <w:p>
            <w:pPr>
              <w:spacing w:line="240" w:lineRule="auto"/>
              <w:ind w:firstLine="0" w:firstLineChars="0"/>
              <w:jc w:val="center"/>
              <w:rPr>
                <w:color w:val="auto"/>
                <w:sz w:val="24"/>
              </w:rPr>
            </w:pPr>
            <w:r>
              <w:rPr>
                <w:color w:val="auto"/>
                <w:sz w:val="24"/>
              </w:rPr>
              <w:t>1084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885" w:type="dxa"/>
            <w:vAlign w:val="center"/>
          </w:tcPr>
          <w:p>
            <w:pPr>
              <w:spacing w:line="240" w:lineRule="auto"/>
              <w:ind w:firstLine="0" w:firstLineChars="0"/>
              <w:jc w:val="center"/>
              <w:rPr>
                <w:color w:val="auto"/>
                <w:sz w:val="24"/>
              </w:rPr>
            </w:pPr>
            <w:r>
              <w:rPr>
                <w:rFonts w:hint="eastAsia"/>
                <w:color w:val="auto"/>
                <w:sz w:val="24"/>
              </w:rPr>
              <w:t>通山县城市城区天然气利用工程</w:t>
            </w:r>
          </w:p>
        </w:tc>
        <w:tc>
          <w:tcPr>
            <w:tcW w:w="2409" w:type="dxa"/>
            <w:vAlign w:val="center"/>
          </w:tcPr>
          <w:p>
            <w:pPr>
              <w:spacing w:line="240" w:lineRule="auto"/>
              <w:ind w:firstLine="0" w:firstLineChars="0"/>
              <w:jc w:val="center"/>
              <w:rPr>
                <w:color w:val="auto"/>
                <w:sz w:val="24"/>
              </w:rPr>
            </w:pPr>
            <w:r>
              <w:rPr>
                <w:rFonts w:hint="eastAsia"/>
                <w:color w:val="auto"/>
                <w:sz w:val="24"/>
              </w:rPr>
              <w:t>通山景元燃气</w:t>
            </w:r>
          </w:p>
        </w:tc>
        <w:tc>
          <w:tcPr>
            <w:tcW w:w="2126" w:type="dxa"/>
            <w:vAlign w:val="center"/>
          </w:tcPr>
          <w:p>
            <w:pPr>
              <w:spacing w:line="240" w:lineRule="auto"/>
              <w:ind w:firstLine="0" w:firstLineChars="0"/>
              <w:jc w:val="center"/>
              <w:rPr>
                <w:color w:val="auto"/>
                <w:sz w:val="24"/>
              </w:rPr>
            </w:pPr>
            <w:r>
              <w:rPr>
                <w:color w:val="auto"/>
                <w:sz w:val="24"/>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94" w:type="dxa"/>
            <w:gridSpan w:val="2"/>
            <w:vAlign w:val="center"/>
          </w:tcPr>
          <w:p>
            <w:pPr>
              <w:spacing w:line="240" w:lineRule="auto"/>
              <w:ind w:firstLine="0" w:firstLineChars="0"/>
              <w:jc w:val="center"/>
              <w:rPr>
                <w:color w:val="auto"/>
                <w:sz w:val="24"/>
              </w:rPr>
            </w:pPr>
            <w:r>
              <w:rPr>
                <w:rFonts w:hint="eastAsia"/>
                <w:color w:val="auto"/>
                <w:sz w:val="24"/>
              </w:rPr>
              <w:t>合计</w:t>
            </w:r>
          </w:p>
        </w:tc>
        <w:tc>
          <w:tcPr>
            <w:tcW w:w="2126" w:type="dxa"/>
            <w:vAlign w:val="center"/>
          </w:tcPr>
          <w:p>
            <w:pPr>
              <w:spacing w:line="240" w:lineRule="auto"/>
              <w:ind w:firstLine="0" w:firstLineChars="0"/>
              <w:jc w:val="center"/>
              <w:rPr>
                <w:color w:val="auto"/>
                <w:sz w:val="24"/>
              </w:rPr>
            </w:pPr>
            <w:r>
              <w:rPr>
                <w:color w:val="auto"/>
                <w:sz w:val="24"/>
              </w:rPr>
              <w:t>16821</w:t>
            </w:r>
          </w:p>
        </w:tc>
      </w:tr>
    </w:tbl>
    <w:p>
      <w:pPr>
        <w:spacing w:line="240" w:lineRule="auto"/>
        <w:ind w:firstLine="0" w:firstLineChars="0"/>
        <w:rPr>
          <w:color w:val="auto"/>
          <w:sz w:val="20"/>
        </w:rPr>
      </w:pPr>
    </w:p>
    <w:p>
      <w:pPr>
        <w:pStyle w:val="4"/>
        <w:ind w:firstLine="602"/>
        <w:rPr>
          <w:color w:val="auto"/>
        </w:rPr>
      </w:pPr>
      <w:bookmarkStart w:id="32" w:name="_Toc40625167"/>
      <w:r>
        <w:rPr>
          <w:color w:val="auto"/>
        </w:rPr>
        <w:t>3.1.3</w:t>
      </w:r>
      <w:r>
        <w:rPr>
          <w:rFonts w:hint="eastAsia"/>
          <w:color w:val="auto"/>
        </w:rPr>
        <w:t>自来水及</w:t>
      </w:r>
      <w:r>
        <w:rPr>
          <w:color w:val="auto"/>
        </w:rPr>
        <w:t>工业水供应情况</w:t>
      </w:r>
      <w:bookmarkEnd w:id="32"/>
    </w:p>
    <w:p>
      <w:pPr>
        <w:ind w:firstLine="560"/>
        <w:rPr>
          <w:color w:val="auto"/>
        </w:rPr>
      </w:pPr>
      <w:r>
        <w:rPr>
          <w:rFonts w:hint="eastAsia"/>
          <w:color w:val="auto"/>
        </w:rPr>
        <w:t>目前</w:t>
      </w:r>
      <w:r>
        <w:rPr>
          <w:color w:val="auto"/>
        </w:rPr>
        <w:t>，</w:t>
      </w:r>
      <w:r>
        <w:rPr>
          <w:rFonts w:hint="eastAsia"/>
          <w:color w:val="auto"/>
        </w:rPr>
        <w:t>咸宁城区居民和工业生产用水均由咸宁联合水务有限公司提供。该</w:t>
      </w:r>
      <w:r>
        <w:rPr>
          <w:color w:val="auto"/>
        </w:rPr>
        <w:t>公司</w:t>
      </w:r>
      <w:r>
        <w:rPr>
          <w:rFonts w:hint="eastAsia"/>
          <w:color w:val="auto"/>
        </w:rPr>
        <w:t>是咸宁市城区唯一一家担负为城市居民生活用水、经营用水、工业用水、行政事业用水、特种用水服务的企业，拥有制水厂四个，现有长江、王英水库、淦河三个供水水源，目前，日供水能力26万立方米，供水面积</w:t>
      </w:r>
      <w:r>
        <w:rPr>
          <w:color w:val="auto"/>
        </w:rPr>
        <w:t>覆盖城区</w:t>
      </w:r>
      <w:r>
        <w:rPr>
          <w:rFonts w:hint="eastAsia"/>
          <w:color w:val="auto"/>
        </w:rPr>
        <w:t>300平方公里，主要供水区域为咸宁城区供水区域（永安+温泉）、贺胜桥镇供水区域（梓山湖新城+贺胜桥镇）、咸嘉新城供水区域，管网供水面积分别约为180平方公里，40平方公里，80平方公里，城区DN100以上主管供水管网有6</w:t>
      </w:r>
      <w:r>
        <w:rPr>
          <w:color w:val="auto"/>
        </w:rPr>
        <w:t>33</w:t>
      </w:r>
      <w:r>
        <w:rPr>
          <w:rFonts w:hint="eastAsia"/>
          <w:color w:val="auto"/>
        </w:rPr>
        <w:t>公里，小区DN100以上管网315公里，水压合格率、水质合格率均达国家相关标准。</w:t>
      </w:r>
    </w:p>
    <w:p>
      <w:pPr>
        <w:ind w:firstLine="560"/>
        <w:rPr>
          <w:color w:val="auto"/>
        </w:rPr>
      </w:pPr>
      <w:r>
        <w:rPr>
          <w:rFonts w:hint="eastAsia"/>
          <w:color w:val="auto"/>
        </w:rPr>
        <w:t>目前</w:t>
      </w:r>
      <w:r>
        <w:rPr>
          <w:color w:val="auto"/>
        </w:rPr>
        <w:t>，咸宁高新区内供水能力充足</w:t>
      </w:r>
      <w:r>
        <w:rPr>
          <w:rFonts w:hint="eastAsia"/>
          <w:color w:val="auto"/>
        </w:rPr>
        <w:t>，同时</w:t>
      </w:r>
      <w:r>
        <w:rPr>
          <w:color w:val="auto"/>
        </w:rPr>
        <w:t>，</w:t>
      </w:r>
      <w:r>
        <w:rPr>
          <w:rFonts w:hint="eastAsia"/>
          <w:color w:val="auto"/>
        </w:rPr>
        <w:t>区</w:t>
      </w:r>
      <w:r>
        <w:rPr>
          <w:color w:val="auto"/>
        </w:rPr>
        <w:t>内部分企业（</w:t>
      </w:r>
      <w:r>
        <w:rPr>
          <w:rFonts w:hint="eastAsia"/>
          <w:color w:val="auto"/>
        </w:rPr>
        <w:t>红牛</w:t>
      </w:r>
      <w:r>
        <w:rPr>
          <w:color w:val="auto"/>
        </w:rPr>
        <w:t>、黄鹤楼</w:t>
      </w:r>
      <w:r>
        <w:rPr>
          <w:rFonts w:hint="eastAsia"/>
          <w:color w:val="auto"/>
        </w:rPr>
        <w:t>等</w:t>
      </w:r>
      <w:r>
        <w:rPr>
          <w:color w:val="auto"/>
        </w:rPr>
        <w:t>）</w:t>
      </w:r>
      <w:r>
        <w:rPr>
          <w:rFonts w:hint="eastAsia"/>
          <w:color w:val="auto"/>
        </w:rPr>
        <w:t>取用地下水作为水源。</w:t>
      </w:r>
    </w:p>
    <w:p>
      <w:pPr>
        <w:pStyle w:val="4"/>
        <w:ind w:firstLine="602"/>
        <w:rPr>
          <w:color w:val="auto"/>
        </w:rPr>
      </w:pPr>
      <w:bookmarkStart w:id="33" w:name="_Toc40625168"/>
      <w:r>
        <w:rPr>
          <w:color w:val="auto"/>
        </w:rPr>
        <w:t>3.1.4</w:t>
      </w:r>
      <w:r>
        <w:rPr>
          <w:rFonts w:hint="eastAsia"/>
          <w:color w:val="auto"/>
        </w:rPr>
        <w:t>热力供应情况</w:t>
      </w:r>
      <w:bookmarkEnd w:id="33"/>
    </w:p>
    <w:p>
      <w:pPr>
        <w:ind w:firstLine="560"/>
        <w:rPr>
          <w:color w:val="auto"/>
        </w:rPr>
      </w:pPr>
      <w:r>
        <w:rPr>
          <w:rFonts w:hint="eastAsia"/>
          <w:color w:val="auto"/>
        </w:rPr>
        <w:t>目前</w:t>
      </w:r>
      <w:r>
        <w:rPr>
          <w:color w:val="auto"/>
        </w:rPr>
        <w:t>，咸宁市</w:t>
      </w:r>
      <w:r>
        <w:rPr>
          <w:rFonts w:hint="eastAsia"/>
          <w:color w:val="auto"/>
        </w:rPr>
        <w:t>暂无集中供热系统，咸宁</w:t>
      </w:r>
      <w:r>
        <w:rPr>
          <w:color w:val="auto"/>
        </w:rPr>
        <w:t>高新区</w:t>
      </w:r>
      <w:r>
        <w:rPr>
          <w:rFonts w:hint="eastAsia"/>
          <w:color w:val="auto"/>
        </w:rPr>
        <w:t>内用热企业的供热主要由企业自备独立锅炉解决，自备锅炉燃烧形式主要为天然气锅炉和生物质锅炉，部分企业在厂内锅炉基本上已是满负荷运行，热效率不高，受国家节能减排要求，难以增容扩大生产，制约了企业发展。</w:t>
      </w:r>
    </w:p>
    <w:p>
      <w:pPr>
        <w:ind w:firstLine="560"/>
        <w:rPr>
          <w:color w:val="auto"/>
        </w:rPr>
      </w:pPr>
      <w:r>
        <w:rPr>
          <w:rFonts w:hint="eastAsia"/>
          <w:color w:val="auto"/>
        </w:rPr>
        <w:t>高新区内主要企业</w:t>
      </w:r>
      <w:r>
        <w:rPr>
          <w:color w:val="auto"/>
        </w:rPr>
        <w:t>用热情况如下表所示：</w:t>
      </w:r>
    </w:p>
    <w:p>
      <w:pPr>
        <w:pStyle w:val="9"/>
        <w:keepNext/>
        <w:rPr>
          <w:color w:val="auto"/>
        </w:rPr>
      </w:pPr>
      <w:r>
        <w:rPr>
          <w:rFonts w:hint="eastAsia"/>
          <w:color w:val="auto"/>
        </w:rPr>
        <w:t xml:space="preserve">表3- </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咸宁</w:t>
      </w:r>
      <w:r>
        <w:rPr>
          <w:color w:val="auto"/>
        </w:rPr>
        <w:t>高新区</w:t>
      </w:r>
      <w:r>
        <w:rPr>
          <w:rFonts w:hint="eastAsia"/>
          <w:color w:val="auto"/>
        </w:rPr>
        <w:t>主要</w:t>
      </w:r>
      <w:r>
        <w:rPr>
          <w:color w:val="auto"/>
        </w:rPr>
        <w:t>用</w:t>
      </w:r>
      <w:r>
        <w:rPr>
          <w:rFonts w:hint="eastAsia"/>
          <w:color w:val="auto"/>
        </w:rPr>
        <w:t>热</w:t>
      </w:r>
      <w:r>
        <w:rPr>
          <w:color w:val="auto"/>
        </w:rPr>
        <w:t>企业</w:t>
      </w:r>
      <w:r>
        <w:rPr>
          <w:rFonts w:hint="eastAsia"/>
          <w:color w:val="auto"/>
        </w:rPr>
        <w:t>锅炉装机统计</w:t>
      </w:r>
    </w:p>
    <w:tbl>
      <w:tblPr>
        <w:tblStyle w:val="23"/>
        <w:tblW w:w="5000" w:type="pct"/>
        <w:tblInd w:w="0" w:type="dxa"/>
        <w:tblLayout w:type="autofit"/>
        <w:tblCellMar>
          <w:top w:w="0" w:type="dxa"/>
          <w:left w:w="28" w:type="dxa"/>
          <w:bottom w:w="0" w:type="dxa"/>
          <w:right w:w="28" w:type="dxa"/>
        </w:tblCellMar>
      </w:tblPr>
      <w:tblGrid>
        <w:gridCol w:w="880"/>
        <w:gridCol w:w="3544"/>
        <w:gridCol w:w="1274"/>
        <w:gridCol w:w="1276"/>
        <w:gridCol w:w="1388"/>
      </w:tblGrid>
      <w:tr>
        <w:tblPrEx>
          <w:tblCellMar>
            <w:top w:w="0" w:type="dxa"/>
            <w:left w:w="28" w:type="dxa"/>
            <w:bottom w:w="0" w:type="dxa"/>
            <w:right w:w="28" w:type="dxa"/>
          </w:tblCellMar>
        </w:tblPrEx>
        <w:trPr>
          <w:trHeight w:val="454" w:hRule="atLeast"/>
          <w:tblHeader/>
        </w:trPr>
        <w:tc>
          <w:tcPr>
            <w:tcW w:w="526"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序号</w:t>
            </w:r>
          </w:p>
        </w:tc>
        <w:tc>
          <w:tcPr>
            <w:tcW w:w="2119"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单位名称</w:t>
            </w:r>
          </w:p>
        </w:tc>
        <w:tc>
          <w:tcPr>
            <w:tcW w:w="1525" w:type="pct"/>
            <w:gridSpan w:val="2"/>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蒸汽参数</w:t>
            </w:r>
          </w:p>
        </w:tc>
        <w:tc>
          <w:tcPr>
            <w:tcW w:w="83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装机规模</w:t>
            </w:r>
          </w:p>
        </w:tc>
      </w:tr>
      <w:tr>
        <w:tblPrEx>
          <w:tblCellMar>
            <w:top w:w="0" w:type="dxa"/>
            <w:left w:w="28" w:type="dxa"/>
            <w:bottom w:w="0" w:type="dxa"/>
            <w:right w:w="28" w:type="dxa"/>
          </w:tblCellMar>
        </w:tblPrEx>
        <w:trPr>
          <w:trHeight w:val="454" w:hRule="atLeast"/>
          <w:tblHeader/>
        </w:trPr>
        <w:tc>
          <w:tcPr>
            <w:tcW w:w="5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p>
        </w:tc>
        <w:tc>
          <w:tcPr>
            <w:tcW w:w="211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温度</w:t>
            </w:r>
            <w:r>
              <w:rPr>
                <w:b/>
                <w:bCs/>
                <w:color w:val="auto"/>
                <w:kern w:val="0"/>
                <w:sz w:val="24"/>
                <w:szCs w:val="24"/>
              </w:rPr>
              <w:t>(</w:t>
            </w:r>
            <w:r>
              <w:rPr>
                <w:rFonts w:hint="eastAsia" w:ascii="宋体" w:hAnsi="宋体" w:cs="宋体"/>
                <w:b/>
                <w:bCs/>
                <w:color w:val="auto"/>
                <w:kern w:val="0"/>
                <w:sz w:val="24"/>
                <w:szCs w:val="24"/>
              </w:rPr>
              <w:t>℃）</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b/>
                <w:bCs/>
                <w:color w:val="auto"/>
                <w:kern w:val="0"/>
                <w:sz w:val="24"/>
                <w:szCs w:val="24"/>
              </w:rPr>
            </w:pPr>
            <w:r>
              <w:rPr>
                <w:rFonts w:hint="eastAsia" w:ascii="宋体" w:hAnsi="宋体" w:cs="宋体"/>
                <w:b/>
                <w:bCs/>
                <w:color w:val="auto"/>
                <w:kern w:val="0"/>
                <w:sz w:val="24"/>
                <w:szCs w:val="24"/>
              </w:rPr>
              <w:t>压力</w:t>
            </w:r>
            <w:r>
              <w:rPr>
                <w:b/>
                <w:bCs/>
                <w:color w:val="auto"/>
                <w:kern w:val="0"/>
                <w:sz w:val="24"/>
                <w:szCs w:val="24"/>
              </w:rPr>
              <w:t>(Mpa)</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b/>
                <w:bCs/>
                <w:color w:val="auto"/>
                <w:kern w:val="0"/>
                <w:sz w:val="24"/>
                <w:szCs w:val="24"/>
              </w:rPr>
            </w:pPr>
            <w:r>
              <w:rPr>
                <w:b/>
                <w:bCs/>
                <w:color w:val="auto"/>
                <w:kern w:val="0"/>
                <w:sz w:val="24"/>
                <w:szCs w:val="24"/>
              </w:rPr>
              <w:t>(</w:t>
            </w:r>
            <w:r>
              <w:rPr>
                <w:rFonts w:hint="eastAsia" w:ascii="宋体" w:hAnsi="宋体"/>
                <w:b/>
                <w:bCs/>
                <w:color w:val="auto"/>
                <w:kern w:val="0"/>
                <w:sz w:val="24"/>
                <w:szCs w:val="24"/>
              </w:rPr>
              <w:t>吨蒸汽</w:t>
            </w:r>
            <w:r>
              <w:rPr>
                <w:b/>
                <w:bCs/>
                <w:color w:val="auto"/>
                <w:kern w:val="0"/>
                <w:sz w:val="24"/>
                <w:szCs w:val="24"/>
              </w:rPr>
              <w:t>/</w:t>
            </w:r>
            <w:r>
              <w:rPr>
                <w:rFonts w:hint="eastAsia" w:ascii="宋体" w:hAnsi="宋体"/>
                <w:b/>
                <w:bCs/>
                <w:color w:val="auto"/>
                <w:kern w:val="0"/>
                <w:sz w:val="24"/>
                <w:szCs w:val="24"/>
              </w:rPr>
              <w:t>时</w:t>
            </w:r>
            <w:r>
              <w:rPr>
                <w:b/>
                <w:bCs/>
                <w:color w:val="auto"/>
                <w:kern w:val="0"/>
                <w:sz w:val="24"/>
                <w:szCs w:val="24"/>
              </w:rPr>
              <w:t>)</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欣和生物</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6</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亚坤电力设备</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3</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鹏盛水泥制品</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4</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欣畅管业</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福人药业</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160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0.7</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8</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6</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湖北绿雪生物</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4</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7</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八月花食品有限公司</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8</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武汉蒲瑞科新材料有限公司</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4</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9</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湖北海弘达铁路车辆配件公司</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欣畅管业</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11</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湖北贵泉新型节能建筑材料</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0.6</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12</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立邦涂料</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4</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13</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武汉谷都生物科技有限公司</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0.5</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6</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金士达医疗</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140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0.8</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15</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今麦郎</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170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0.8</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16</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黄鹤楼酒业</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100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0.4</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7</w:t>
            </w:r>
          </w:p>
        </w:tc>
      </w:tr>
      <w:tr>
        <w:tblPrEx>
          <w:tblCellMar>
            <w:top w:w="0" w:type="dxa"/>
            <w:left w:w="28" w:type="dxa"/>
            <w:bottom w:w="0" w:type="dxa"/>
            <w:right w:w="28" w:type="dxa"/>
          </w:tblCellMar>
        </w:tblPrEx>
        <w:trPr>
          <w:trHeight w:val="454" w:hRule="atLeast"/>
        </w:trPr>
        <w:tc>
          <w:tcPr>
            <w:tcW w:w="526" w:type="pc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17</w:t>
            </w:r>
          </w:p>
        </w:tc>
        <w:tc>
          <w:tcPr>
            <w:tcW w:w="2119"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s="宋体"/>
                <w:color w:val="auto"/>
                <w:kern w:val="0"/>
                <w:sz w:val="24"/>
                <w:szCs w:val="24"/>
              </w:rPr>
            </w:pPr>
            <w:r>
              <w:rPr>
                <w:rFonts w:hint="eastAsia" w:ascii="宋体" w:hAnsi="宋体" w:cs="宋体"/>
                <w:color w:val="auto"/>
                <w:kern w:val="0"/>
                <w:sz w:val="24"/>
                <w:szCs w:val="24"/>
              </w:rPr>
              <w:t>红牛</w:t>
            </w:r>
          </w:p>
        </w:tc>
        <w:tc>
          <w:tcPr>
            <w:tcW w:w="762"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160</w:t>
            </w:r>
          </w:p>
        </w:tc>
        <w:tc>
          <w:tcPr>
            <w:tcW w:w="763"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0.8</w:t>
            </w:r>
          </w:p>
        </w:tc>
        <w:tc>
          <w:tcPr>
            <w:tcW w:w="830"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auto"/>
                <w:kern w:val="0"/>
                <w:sz w:val="24"/>
                <w:szCs w:val="24"/>
              </w:rPr>
            </w:pPr>
            <w:r>
              <w:rPr>
                <w:color w:val="auto"/>
                <w:kern w:val="0"/>
                <w:sz w:val="24"/>
                <w:szCs w:val="24"/>
              </w:rPr>
              <w:t>24</w:t>
            </w:r>
          </w:p>
        </w:tc>
      </w:tr>
    </w:tbl>
    <w:p>
      <w:pPr>
        <w:ind w:firstLine="0" w:firstLineChars="0"/>
        <w:rPr>
          <w:color w:val="auto"/>
        </w:rPr>
      </w:pPr>
    </w:p>
    <w:p>
      <w:pPr>
        <w:pStyle w:val="3"/>
        <w:ind w:firstLine="643"/>
        <w:rPr>
          <w:color w:val="auto"/>
        </w:rPr>
      </w:pPr>
      <w:bookmarkStart w:id="34" w:name="_Toc40625169"/>
      <w:r>
        <w:rPr>
          <w:rFonts w:hint="eastAsia"/>
          <w:color w:val="auto"/>
        </w:rPr>
        <w:t>3.</w:t>
      </w:r>
      <w:r>
        <w:rPr>
          <w:color w:val="auto"/>
        </w:rPr>
        <w:t>2</w:t>
      </w:r>
      <w:r>
        <w:rPr>
          <w:rFonts w:hint="eastAsia"/>
          <w:color w:val="auto"/>
        </w:rPr>
        <w:t>区域</w:t>
      </w:r>
      <w:r>
        <w:rPr>
          <w:color w:val="auto"/>
        </w:rPr>
        <w:t>能源发展规划</w:t>
      </w:r>
      <w:bookmarkEnd w:id="34"/>
    </w:p>
    <w:p>
      <w:pPr>
        <w:pStyle w:val="4"/>
        <w:ind w:firstLine="602"/>
        <w:rPr>
          <w:color w:val="auto"/>
        </w:rPr>
      </w:pPr>
      <w:bookmarkStart w:id="35" w:name="_Toc40625170"/>
      <w:r>
        <w:rPr>
          <w:rFonts w:hint="eastAsia"/>
          <w:color w:val="auto"/>
        </w:rPr>
        <w:t>3.2.1电力发展</w:t>
      </w:r>
      <w:r>
        <w:rPr>
          <w:color w:val="auto"/>
        </w:rPr>
        <w:t>规划</w:t>
      </w:r>
      <w:bookmarkEnd w:id="35"/>
    </w:p>
    <w:p>
      <w:pPr>
        <w:ind w:firstLine="560"/>
        <w:rPr>
          <w:color w:val="auto"/>
        </w:rPr>
      </w:pPr>
      <w:r>
        <w:rPr>
          <w:rFonts w:hint="eastAsia"/>
          <w:color w:val="auto"/>
        </w:rPr>
        <w:t>到2025年，</w:t>
      </w:r>
      <w:r>
        <w:rPr>
          <w:color w:val="auto"/>
        </w:rPr>
        <w:t>咸宁市电网</w:t>
      </w:r>
      <w:r>
        <w:rPr>
          <w:rFonts w:hint="eastAsia"/>
          <w:color w:val="auto"/>
        </w:rPr>
        <w:t>规划形成以220千伏变电站为枢纽，110千伏电压等级为主、35千伏电网为辅的网架结构。</w:t>
      </w:r>
    </w:p>
    <w:p>
      <w:pPr>
        <w:ind w:firstLine="560"/>
        <w:rPr>
          <w:color w:val="auto"/>
        </w:rPr>
      </w:pPr>
      <w:r>
        <w:rPr>
          <w:rFonts w:hint="eastAsia"/>
          <w:color w:val="auto"/>
        </w:rPr>
        <w:t>110千伏配电网。咸宁电网规划新建110千伏变电站4座，主变5台，变电容量201.5万千瓦安，10千伏间隔58个；扩建变电站2座，主变2台，变电容量70万千瓦安，10千伏间隔20个。新建线路8条，其中市辖供电区新建线路2条，县级供电区新建线路6条。线路长度91.1公里，其中市辖供电区新建线路9.4公里，县级供电区新建线路81.7公里。</w:t>
      </w:r>
    </w:p>
    <w:p>
      <w:pPr>
        <w:ind w:firstLine="560"/>
        <w:rPr>
          <w:color w:val="auto"/>
        </w:rPr>
      </w:pPr>
      <w:r>
        <w:rPr>
          <w:rFonts w:hint="eastAsia"/>
          <w:color w:val="auto"/>
        </w:rPr>
        <w:t>35千伏配电网。咸宁35千伏电网规划新建变电站9座，新增主变9台，变电容量44万千瓦安，10千伏间隔21个。新建线路9条，其中，新建架空线路长度74.42公里，电缆线路0.86公里，全部为县级供电区线路工程。</w:t>
      </w:r>
    </w:p>
    <w:p>
      <w:pPr>
        <w:ind w:firstLine="560"/>
        <w:rPr>
          <w:color w:val="auto"/>
        </w:rPr>
      </w:pPr>
      <w:r>
        <w:rPr>
          <w:rFonts w:hint="eastAsia"/>
          <w:color w:val="auto"/>
        </w:rPr>
        <w:t>10千伏配电网。网供配变负荷年均增长率2.33%，配变台数年均增长率达到1.40%，配变容量年均增长率达到1.99%。至2020年，咸宁市网供10千伏配变负荷为82.645万千瓦，总配变台数1.451万台，总配变容量2595.21万千瓦安。新增10千伏线路363条，新建架空线路1695.19公里，电缆线路69.11公里。改造10千伏线路架空线路3662.28公里，电缆线路28.91公里。</w:t>
      </w:r>
    </w:p>
    <w:p>
      <w:pPr>
        <w:ind w:firstLine="560"/>
        <w:rPr>
          <w:color w:val="auto"/>
        </w:rPr>
      </w:pPr>
      <w:r>
        <w:rPr>
          <w:rFonts w:hint="eastAsia"/>
          <w:color w:val="auto"/>
        </w:rPr>
        <w:t>预计到2035年，咸宁负荷将达到389万千瓦，扩建500千伏咸宁变电站（300万千伏安），新建500千伏赤壁变电站（200万千伏安）。规划新建肖家洲变、墨烟变、泉洪变、张公变、渠首变、横石潭变、大路变、铜钟变8座220千伏变电站。</w:t>
      </w:r>
    </w:p>
    <w:p>
      <w:pPr>
        <w:ind w:firstLine="560"/>
        <w:rPr>
          <w:color w:val="auto"/>
        </w:rPr>
      </w:pPr>
      <w:r>
        <w:rPr>
          <w:rFonts w:hint="eastAsia"/>
          <w:color w:val="auto"/>
        </w:rPr>
        <w:t>电力</w:t>
      </w:r>
      <w:r>
        <w:rPr>
          <w:color w:val="auto"/>
        </w:rPr>
        <w:t>生产供应方面</w:t>
      </w:r>
      <w:r>
        <w:rPr>
          <w:rFonts w:hint="eastAsia"/>
          <w:color w:val="auto"/>
        </w:rPr>
        <w:t>：</w:t>
      </w:r>
    </w:p>
    <w:p>
      <w:pPr>
        <w:ind w:firstLine="560"/>
        <w:rPr>
          <w:color w:val="auto"/>
        </w:rPr>
      </w:pPr>
      <w:r>
        <w:rPr>
          <w:rFonts w:hint="eastAsia"/>
          <w:color w:val="auto"/>
        </w:rPr>
        <w:t>核能作为咸宁市能源产业发展的重点，预计从2020年~2025年期间，重点围绕国家核电政策导向，加强咸宁核电厂址保护，继续开展前期准备工作；在国家同意内陆核电重启的前提下，力争“十四五”初咸宁核电开工建设，2030年前实现咸宁核电首台机组并网发电。咸宁核电厂的</w:t>
      </w:r>
      <w:r>
        <w:rPr>
          <w:color w:val="auto"/>
        </w:rPr>
        <w:t>建设将对咸宁地区的用电提供极大的保障。</w:t>
      </w:r>
    </w:p>
    <w:p>
      <w:pPr>
        <w:ind w:firstLine="560"/>
        <w:rPr>
          <w:color w:val="auto"/>
        </w:rPr>
      </w:pPr>
      <w:r>
        <w:rPr>
          <w:rFonts w:hint="eastAsia"/>
          <w:color w:val="auto"/>
        </w:rPr>
        <w:t>2020</w:t>
      </w:r>
      <w:r>
        <w:rPr>
          <w:color w:val="auto"/>
        </w:rPr>
        <w:t>~</w:t>
      </w:r>
      <w:r>
        <w:rPr>
          <w:rFonts w:hint="eastAsia"/>
          <w:color w:val="auto"/>
        </w:rPr>
        <w:t>2025年间，咸宁市各县市区规划建设集中式风电项目8个（装机容量850</w:t>
      </w:r>
      <w:r>
        <w:rPr>
          <w:color w:val="auto"/>
        </w:rPr>
        <w:t>MW</w:t>
      </w:r>
      <w:r>
        <w:rPr>
          <w:rFonts w:hint="eastAsia"/>
          <w:color w:val="auto"/>
        </w:rPr>
        <w:t>），分散式风电项目20个（装机容量</w:t>
      </w:r>
      <w:r>
        <w:rPr>
          <w:color w:val="auto"/>
        </w:rPr>
        <w:t>995.6</w:t>
      </w:r>
      <w:r>
        <w:rPr>
          <w:rFonts w:hint="eastAsia"/>
          <w:color w:val="auto"/>
        </w:rPr>
        <w:t>MW），其中</w:t>
      </w:r>
      <w:r>
        <w:rPr>
          <w:color w:val="auto"/>
        </w:rPr>
        <w:t>包括</w:t>
      </w:r>
      <w:r>
        <w:rPr>
          <w:rFonts w:hint="eastAsia"/>
          <w:color w:val="auto"/>
        </w:rPr>
        <w:t>咸宁高新区规划项目1个，装机容量2</w:t>
      </w:r>
      <w:r>
        <w:rPr>
          <w:color w:val="auto"/>
        </w:rPr>
        <w:t>9.</w:t>
      </w:r>
      <w:r>
        <w:rPr>
          <w:rFonts w:hint="eastAsia"/>
          <w:color w:val="auto"/>
        </w:rPr>
        <w:t>8MW。</w:t>
      </w:r>
    </w:p>
    <w:p>
      <w:pPr>
        <w:ind w:firstLine="560"/>
        <w:rPr>
          <w:color w:val="auto"/>
        </w:rPr>
      </w:pPr>
      <w:r>
        <w:rPr>
          <w:rFonts w:hint="eastAsia"/>
          <w:color w:val="auto"/>
        </w:rPr>
        <w:t>光伏发电方面，短期内咸宁市规划建设的光伏发电项目总装机容量接近190万千瓦。其中，</w:t>
      </w:r>
      <w:r>
        <w:rPr>
          <w:color w:val="auto"/>
        </w:rPr>
        <w:t>咸宁高新区近期规划建设</w:t>
      </w:r>
      <w:r>
        <w:rPr>
          <w:rFonts w:hint="eastAsia"/>
          <w:color w:val="auto"/>
        </w:rPr>
        <w:t>分布式</w:t>
      </w:r>
      <w:r>
        <w:rPr>
          <w:color w:val="auto"/>
        </w:rPr>
        <w:t>发电项目</w:t>
      </w:r>
      <w:r>
        <w:rPr>
          <w:rFonts w:hint="eastAsia"/>
          <w:color w:val="auto"/>
        </w:rPr>
        <w:t>7个</w:t>
      </w:r>
      <w:r>
        <w:rPr>
          <w:color w:val="auto"/>
        </w:rPr>
        <w:t>，合计装机容量</w:t>
      </w:r>
      <w:r>
        <w:rPr>
          <w:rFonts w:hint="eastAsia"/>
          <w:color w:val="auto"/>
        </w:rPr>
        <w:t>46</w:t>
      </w:r>
      <w:r>
        <w:rPr>
          <w:color w:val="auto"/>
        </w:rPr>
        <w:t>MW</w:t>
      </w:r>
      <w:r>
        <w:rPr>
          <w:rFonts w:hint="eastAsia"/>
          <w:color w:val="auto"/>
        </w:rPr>
        <w:t>。</w:t>
      </w:r>
    </w:p>
    <w:p>
      <w:pPr>
        <w:ind w:firstLine="560"/>
        <w:rPr>
          <w:color w:val="auto"/>
        </w:rPr>
      </w:pPr>
      <w:r>
        <w:rPr>
          <w:rFonts w:hint="eastAsia"/>
          <w:color w:val="auto"/>
        </w:rPr>
        <w:t>生物质能发电</w:t>
      </w:r>
      <w:r>
        <w:rPr>
          <w:color w:val="auto"/>
        </w:rPr>
        <w:t>方面，</w:t>
      </w:r>
      <w:r>
        <w:rPr>
          <w:rFonts w:hint="eastAsia"/>
          <w:color w:val="auto"/>
        </w:rPr>
        <w:t>咸宁</w:t>
      </w:r>
      <w:r>
        <w:rPr>
          <w:color w:val="auto"/>
        </w:rPr>
        <w:t>高新区近期规划建设</w:t>
      </w:r>
      <w:r>
        <w:rPr>
          <w:rFonts w:hint="eastAsia"/>
          <w:color w:val="auto"/>
        </w:rPr>
        <w:t>生物质热解发电（多联产）项目，由湖北创能生物碳资源综合利用有限公司投资</w:t>
      </w:r>
      <w:r>
        <w:rPr>
          <w:color w:val="auto"/>
        </w:rPr>
        <w:t>建设，</w:t>
      </w:r>
      <w:r>
        <w:rPr>
          <w:rFonts w:hint="eastAsia"/>
          <w:color w:val="auto"/>
        </w:rPr>
        <w:t>其总处理规模为500t/d，项目总装机容量为12.8MW。同时</w:t>
      </w:r>
      <w:r>
        <w:rPr>
          <w:color w:val="auto"/>
        </w:rPr>
        <w:t>，规划</w:t>
      </w:r>
      <w:r>
        <w:rPr>
          <w:rFonts w:hint="eastAsia"/>
          <w:color w:val="auto"/>
        </w:rPr>
        <w:t>湖北裕丰能源咸宁高新区生物质气化中心项目，年产生物质颗粒5万吨，日产燃气10万m</w:t>
      </w:r>
      <w:r>
        <w:rPr>
          <w:color w:val="auto"/>
          <w:vertAlign w:val="superscript"/>
        </w:rPr>
        <w:t>3</w:t>
      </w:r>
      <w:r>
        <w:rPr>
          <w:rFonts w:hint="eastAsia"/>
          <w:color w:val="auto"/>
        </w:rPr>
        <w:t>。</w:t>
      </w:r>
    </w:p>
    <w:p>
      <w:pPr>
        <w:ind w:firstLine="560"/>
        <w:rPr>
          <w:color w:val="auto"/>
        </w:rPr>
      </w:pPr>
      <w:r>
        <w:rPr>
          <w:rFonts w:hint="eastAsia"/>
          <w:color w:val="auto"/>
        </w:rPr>
        <w:t>咸宁</w:t>
      </w:r>
      <w:r>
        <w:rPr>
          <w:color w:val="auto"/>
        </w:rPr>
        <w:t>高新区</w:t>
      </w:r>
      <w:r>
        <w:rPr>
          <w:rFonts w:hint="eastAsia"/>
          <w:color w:val="auto"/>
        </w:rPr>
        <w:t>规划保留现状的110</w:t>
      </w:r>
      <w:r>
        <w:rPr>
          <w:color w:val="auto"/>
        </w:rPr>
        <w:t>k</w:t>
      </w:r>
      <w:r>
        <w:rPr>
          <w:rFonts w:hint="eastAsia"/>
          <w:color w:val="auto"/>
        </w:rPr>
        <w:t>V横沟变、栗林变、浮山变及220</w:t>
      </w:r>
      <w:r>
        <w:rPr>
          <w:color w:val="auto"/>
        </w:rPr>
        <w:t>k</w:t>
      </w:r>
      <w:r>
        <w:rPr>
          <w:rFonts w:hint="eastAsia"/>
          <w:color w:val="auto"/>
        </w:rPr>
        <w:t>V孙田变，同时利用周边的浮永安110</w:t>
      </w:r>
      <w:r>
        <w:rPr>
          <w:color w:val="auto"/>
        </w:rPr>
        <w:t>k</w:t>
      </w:r>
      <w:r>
        <w:rPr>
          <w:rFonts w:hint="eastAsia"/>
          <w:color w:val="auto"/>
        </w:rPr>
        <w:t>V变电站以及规划的张公220</w:t>
      </w:r>
      <w:r>
        <w:rPr>
          <w:color w:val="auto"/>
        </w:rPr>
        <w:t>k</w:t>
      </w:r>
      <w:r>
        <w:rPr>
          <w:rFonts w:hint="eastAsia"/>
          <w:color w:val="auto"/>
        </w:rPr>
        <w:t>V变电站联合供电。同时，</w:t>
      </w:r>
      <w:r>
        <w:rPr>
          <w:color w:val="auto"/>
        </w:rPr>
        <w:t>区内</w:t>
      </w:r>
      <w:r>
        <w:rPr>
          <w:rFonts w:hint="eastAsia"/>
          <w:color w:val="auto"/>
        </w:rPr>
        <w:t>规划6处110</w:t>
      </w:r>
      <w:r>
        <w:rPr>
          <w:color w:val="auto"/>
        </w:rPr>
        <w:t>k</w:t>
      </w:r>
      <w:r>
        <w:rPr>
          <w:rFonts w:hint="eastAsia"/>
          <w:color w:val="auto"/>
        </w:rPr>
        <w:t>V变电站分别位于各功能组团，为周边用地提供电源。规划各变电站变电容量15万</w:t>
      </w:r>
      <w:r>
        <w:rPr>
          <w:color w:val="auto"/>
        </w:rPr>
        <w:t>k</w:t>
      </w:r>
      <w:r>
        <w:rPr>
          <w:rFonts w:hint="eastAsia"/>
          <w:color w:val="auto"/>
        </w:rPr>
        <w:t>W。高新区工业用地内不再增设其他35/110</w:t>
      </w:r>
      <w:r>
        <w:rPr>
          <w:color w:val="auto"/>
        </w:rPr>
        <w:t>k</w:t>
      </w:r>
      <w:r>
        <w:rPr>
          <w:rFonts w:hint="eastAsia"/>
          <w:color w:val="auto"/>
        </w:rPr>
        <w:t>V变电站，各企业需根据需求，自建35/110</w:t>
      </w:r>
      <w:r>
        <w:rPr>
          <w:color w:val="auto"/>
        </w:rPr>
        <w:t>k</w:t>
      </w:r>
      <w:r>
        <w:rPr>
          <w:rFonts w:hint="eastAsia"/>
          <w:color w:val="auto"/>
        </w:rPr>
        <w:t>V用户变电站或者10</w:t>
      </w:r>
      <w:r>
        <w:rPr>
          <w:color w:val="auto"/>
        </w:rPr>
        <w:t>k</w:t>
      </w:r>
      <w:r>
        <w:rPr>
          <w:rFonts w:hint="eastAsia"/>
          <w:color w:val="auto"/>
        </w:rPr>
        <w:t>V配电站。</w:t>
      </w:r>
    </w:p>
    <w:p>
      <w:pPr>
        <w:pStyle w:val="4"/>
        <w:ind w:firstLine="602"/>
        <w:rPr>
          <w:color w:val="auto"/>
        </w:rPr>
      </w:pPr>
      <w:bookmarkStart w:id="36" w:name="_Toc40625171"/>
      <w:r>
        <w:rPr>
          <w:rFonts w:hint="eastAsia"/>
          <w:color w:val="auto"/>
        </w:rPr>
        <w:t>3.2.2天然气发展</w:t>
      </w:r>
      <w:r>
        <w:rPr>
          <w:color w:val="auto"/>
        </w:rPr>
        <w:t>规划</w:t>
      </w:r>
      <w:bookmarkEnd w:id="36"/>
    </w:p>
    <w:p>
      <w:pPr>
        <w:ind w:firstLine="560"/>
        <w:rPr>
          <w:color w:val="auto"/>
        </w:rPr>
      </w:pPr>
      <w:r>
        <w:rPr>
          <w:rFonts w:hint="eastAsia"/>
          <w:color w:val="auto"/>
        </w:rPr>
        <w:t>咸宁规划在2020</w:t>
      </w:r>
      <w:r>
        <w:rPr>
          <w:color w:val="auto"/>
        </w:rPr>
        <w:t>~</w:t>
      </w:r>
      <w:r>
        <w:rPr>
          <w:rFonts w:hint="eastAsia"/>
          <w:color w:val="auto"/>
        </w:rPr>
        <w:t>2025间，加快建成南三县天然气长输管道，实现全市管道天然气输送全覆盖，进一步加大气化乡镇推广力度，促进天然气利用在全市均衡发展；加强油气储存设施改建迁址工作，为全市成品油市场供需提供有力保障。</w:t>
      </w:r>
    </w:p>
    <w:p>
      <w:pPr>
        <w:ind w:firstLine="560"/>
        <w:rPr>
          <w:color w:val="auto"/>
        </w:rPr>
      </w:pPr>
      <w:r>
        <w:rPr>
          <w:rFonts w:hint="eastAsia"/>
          <w:color w:val="auto"/>
        </w:rPr>
        <w:t>咸宁市将结合中石化仪征--长岭原油管道复线工程（咸宁段）的建设，统筹规划，预留中石化仪长原油管线、中石油兰郑长成品油管线向北迁移通道，并不断扩大城市燃气管网覆盖范围，满足城市各种燃气需求，形成以天然气和液化石油气为主、人工煤气为辅的燃气供应系统。加强全市油气长输管线与省内主干网的多点对接，完善天然气及成品油输送储存能力的提升，保障到2035年，实现天然气占能源消费比例达到18%的目标。</w:t>
      </w:r>
    </w:p>
    <w:p>
      <w:pPr>
        <w:ind w:firstLine="560"/>
        <w:rPr>
          <w:color w:val="auto"/>
        </w:rPr>
      </w:pPr>
      <w:r>
        <w:rPr>
          <w:rFonts w:hint="eastAsia"/>
          <w:color w:val="auto"/>
        </w:rPr>
        <w:t>2019年6月，咸宁市与中铁加仑液化天然气物流股份有限公司签署合作协议，将共同推进中铁加仑咸宁LNG铁路储运物流园项目。，中铁加仑液化天然气物流股份有限公司将充分发挥在LNG储存、运输等方面的技术、运营综合优势，在咸宁高新区实施中铁加仑咸宁LNG铁路储运物流园项目。项目计划占地约800亩，总投资约20亿元，分三期建设共计10万立方罐容的LNG调峰储备库区，同步推进与LNG铁路集装箱、LNG铁路罐车对接的铁路专业线、接卸货场等项目建设。该项目</w:t>
      </w:r>
      <w:r>
        <w:rPr>
          <w:color w:val="auto"/>
        </w:rPr>
        <w:t>的建设将进一步保障</w:t>
      </w:r>
      <w:r>
        <w:rPr>
          <w:rFonts w:hint="eastAsia"/>
          <w:color w:val="auto"/>
        </w:rPr>
        <w:t>高新区</w:t>
      </w:r>
      <w:r>
        <w:rPr>
          <w:color w:val="auto"/>
        </w:rPr>
        <w:t>天然气</w:t>
      </w:r>
      <w:r>
        <w:rPr>
          <w:rFonts w:hint="eastAsia"/>
          <w:color w:val="auto"/>
        </w:rPr>
        <w:t>的</w:t>
      </w:r>
      <w:r>
        <w:rPr>
          <w:color w:val="auto"/>
        </w:rPr>
        <w:t>供应</w:t>
      </w:r>
      <w:r>
        <w:rPr>
          <w:rFonts w:hint="eastAsia"/>
          <w:color w:val="auto"/>
        </w:rPr>
        <w:t>需求</w:t>
      </w:r>
      <w:r>
        <w:rPr>
          <w:color w:val="auto"/>
        </w:rPr>
        <w:t>。</w:t>
      </w:r>
    </w:p>
    <w:p>
      <w:pPr>
        <w:pStyle w:val="4"/>
        <w:ind w:firstLine="602"/>
        <w:rPr>
          <w:color w:val="auto"/>
        </w:rPr>
      </w:pPr>
      <w:bookmarkStart w:id="37" w:name="_Toc40625172"/>
      <w:r>
        <w:rPr>
          <w:rFonts w:hint="eastAsia"/>
          <w:color w:val="auto"/>
        </w:rPr>
        <w:t>3.2.3自来水及</w:t>
      </w:r>
      <w:r>
        <w:rPr>
          <w:color w:val="auto"/>
        </w:rPr>
        <w:t>工业水</w:t>
      </w:r>
      <w:r>
        <w:rPr>
          <w:rFonts w:hint="eastAsia"/>
          <w:color w:val="auto"/>
        </w:rPr>
        <w:t>发展</w:t>
      </w:r>
      <w:r>
        <w:rPr>
          <w:color w:val="auto"/>
        </w:rPr>
        <w:t>规划</w:t>
      </w:r>
      <w:bookmarkEnd w:id="37"/>
    </w:p>
    <w:p>
      <w:pPr>
        <w:ind w:firstLine="560"/>
        <w:rPr>
          <w:color w:val="auto"/>
        </w:rPr>
      </w:pPr>
      <w:r>
        <w:rPr>
          <w:rFonts w:hint="eastAsia"/>
          <w:color w:val="auto"/>
        </w:rPr>
        <w:t>高新区思源水厂日供水规模4万m</w:t>
      </w:r>
      <w:r>
        <w:rPr>
          <w:color w:val="auto"/>
          <w:vertAlign w:val="superscript"/>
        </w:rPr>
        <w:t>3</w:t>
      </w:r>
      <w:r>
        <w:rPr>
          <w:color w:val="auto"/>
        </w:rPr>
        <w:t>/日</w:t>
      </w:r>
      <w:r>
        <w:rPr>
          <w:rFonts w:hint="eastAsia"/>
          <w:color w:val="auto"/>
        </w:rPr>
        <w:t>，规划扩建现有思源水厂，提升其供水能力，供水规模达到8万m</w:t>
      </w:r>
      <w:r>
        <w:rPr>
          <w:color w:val="auto"/>
          <w:vertAlign w:val="superscript"/>
        </w:rPr>
        <w:t>3</w:t>
      </w:r>
      <w:r>
        <w:rPr>
          <w:color w:val="auto"/>
        </w:rPr>
        <w:t>/日</w:t>
      </w:r>
      <w:r>
        <w:rPr>
          <w:rFonts w:hint="eastAsia"/>
          <w:color w:val="auto"/>
        </w:rPr>
        <w:t>，能</w:t>
      </w:r>
      <w:r>
        <w:rPr>
          <w:color w:val="auto"/>
        </w:rPr>
        <w:t>够满足高新区</w:t>
      </w:r>
      <w:r>
        <w:rPr>
          <w:rFonts w:hint="eastAsia"/>
          <w:color w:val="auto"/>
        </w:rPr>
        <w:t>建设用水需求。未来利用王英水库供水工程项目（设计配水规模为20万m</w:t>
      </w:r>
      <w:r>
        <w:rPr>
          <w:color w:val="auto"/>
          <w:vertAlign w:val="superscript"/>
        </w:rPr>
        <w:t>3</w:t>
      </w:r>
      <w:r>
        <w:rPr>
          <w:rFonts w:hint="eastAsia"/>
          <w:color w:val="auto"/>
        </w:rPr>
        <w:t>/日，实际配水规模10万m</w:t>
      </w:r>
      <w:r>
        <w:rPr>
          <w:color w:val="auto"/>
          <w:vertAlign w:val="superscript"/>
        </w:rPr>
        <w:t>3</w:t>
      </w:r>
      <w:r>
        <w:rPr>
          <w:rFonts w:hint="eastAsia"/>
          <w:color w:val="auto"/>
        </w:rPr>
        <w:t>/日），作为未来高新区主要的供水水源。考虑未来中水利用等节水措施及设施的实施，可确保满足高新区用水需求。</w:t>
      </w:r>
    </w:p>
    <w:p>
      <w:pPr>
        <w:pStyle w:val="4"/>
        <w:ind w:firstLine="602"/>
        <w:rPr>
          <w:color w:val="auto"/>
        </w:rPr>
      </w:pPr>
      <w:bookmarkStart w:id="38" w:name="_Toc40625173"/>
      <w:r>
        <w:rPr>
          <w:rFonts w:hint="eastAsia"/>
          <w:color w:val="auto"/>
        </w:rPr>
        <w:t>3.2.</w:t>
      </w:r>
      <w:r>
        <w:rPr>
          <w:color w:val="auto"/>
        </w:rPr>
        <w:t>4</w:t>
      </w:r>
      <w:r>
        <w:rPr>
          <w:rFonts w:hint="eastAsia"/>
          <w:color w:val="auto"/>
        </w:rPr>
        <w:t>热力发展</w:t>
      </w:r>
      <w:r>
        <w:rPr>
          <w:color w:val="auto"/>
        </w:rPr>
        <w:t>规划</w:t>
      </w:r>
      <w:bookmarkEnd w:id="38"/>
    </w:p>
    <w:p>
      <w:pPr>
        <w:ind w:firstLine="560"/>
        <w:rPr>
          <w:color w:val="auto"/>
        </w:rPr>
      </w:pPr>
      <w:r>
        <w:rPr>
          <w:rFonts w:hint="eastAsia"/>
          <w:color w:val="auto"/>
        </w:rPr>
        <w:t>咸宁市首个热电分布式能源站项目由湖北环峰能源科技有限公司投资建设，已于2019年3月在咸宁高新区开工建设，用地面积约为89亩，以天然气为主，生物质能燃料为辅。项目分两期建设：一期工程规模为1套15MW燃气-蒸汽机组（含30t/h余热锅炉）；辅助配套锅炉：1台SZL35-1.6/250-SC型燃生物质锅炉（35t/h）和1台SZS15-1.6/250-Q型燃天然气锅炉（15t/h），额定压力均为1.6MPa，额定过热蒸汽温度均为250℃。远期规划新增一套同规模机组。该项目在园区负荷中心就近实现能源梯级利用，能源综合利用效率在70%以上，所</w:t>
      </w:r>
      <w:r>
        <w:rPr>
          <w:color w:val="auto"/>
        </w:rPr>
        <w:t>产生的蒸汽能有效</w:t>
      </w:r>
      <w:r>
        <w:rPr>
          <w:rFonts w:hint="eastAsia"/>
          <w:color w:val="auto"/>
        </w:rPr>
        <w:t>满足</w:t>
      </w:r>
      <w:r>
        <w:rPr>
          <w:color w:val="auto"/>
        </w:rPr>
        <w:t>园区工业企业</w:t>
      </w:r>
      <w:r>
        <w:rPr>
          <w:rFonts w:hint="eastAsia"/>
          <w:color w:val="auto"/>
        </w:rPr>
        <w:t>用热</w:t>
      </w:r>
      <w:r>
        <w:rPr>
          <w:color w:val="auto"/>
        </w:rPr>
        <w:t>需求。</w:t>
      </w:r>
    </w:p>
    <w:p>
      <w:pPr>
        <w:ind w:firstLine="560"/>
        <w:rPr>
          <w:color w:val="auto"/>
        </w:rPr>
      </w:pPr>
      <w:r>
        <w:rPr>
          <w:rFonts w:hint="eastAsia"/>
          <w:color w:val="auto"/>
        </w:rPr>
        <w:t>高新区</w:t>
      </w:r>
      <w:r>
        <w:rPr>
          <w:color w:val="auto"/>
        </w:rPr>
        <w:t>未来规划</w:t>
      </w:r>
      <w:r>
        <w:rPr>
          <w:rFonts w:hint="eastAsia"/>
          <w:color w:val="auto"/>
        </w:rPr>
        <w:t>再</w:t>
      </w:r>
      <w:r>
        <w:rPr>
          <w:color w:val="auto"/>
        </w:rPr>
        <w:t>新建</w:t>
      </w:r>
      <w:r>
        <w:rPr>
          <w:rFonts w:hint="eastAsia"/>
          <w:color w:val="auto"/>
        </w:rPr>
        <w:t>3处</w:t>
      </w:r>
      <w:r>
        <w:rPr>
          <w:color w:val="auto"/>
        </w:rPr>
        <w:t>热力</w:t>
      </w:r>
      <w:r>
        <w:rPr>
          <w:rFonts w:hint="eastAsia"/>
          <w:color w:val="auto"/>
        </w:rPr>
        <w:t>设施，并进一步</w:t>
      </w:r>
      <w:r>
        <w:rPr>
          <w:color w:val="auto"/>
        </w:rPr>
        <w:t>完善园区</w:t>
      </w:r>
      <w:r>
        <w:rPr>
          <w:rFonts w:hint="eastAsia"/>
          <w:color w:val="auto"/>
        </w:rPr>
        <w:t>热力</w:t>
      </w:r>
      <w:r>
        <w:rPr>
          <w:color w:val="auto"/>
        </w:rPr>
        <w:t>管网设施，</w:t>
      </w:r>
      <w:r>
        <w:rPr>
          <w:rFonts w:hint="eastAsia"/>
          <w:color w:val="auto"/>
        </w:rPr>
        <w:t>完成区内</w:t>
      </w:r>
      <w:r>
        <w:rPr>
          <w:color w:val="auto"/>
        </w:rPr>
        <w:t>主管网</w:t>
      </w:r>
      <w:r>
        <w:rPr>
          <w:rFonts w:hint="eastAsia"/>
          <w:color w:val="auto"/>
        </w:rPr>
        <w:t>110公里</w:t>
      </w:r>
      <w:r>
        <w:rPr>
          <w:color w:val="auto"/>
        </w:rPr>
        <w:t>、支管网</w:t>
      </w:r>
      <w:r>
        <w:rPr>
          <w:rFonts w:hint="eastAsia"/>
          <w:color w:val="auto"/>
        </w:rPr>
        <w:t>220公里的</w:t>
      </w:r>
      <w:r>
        <w:rPr>
          <w:color w:val="auto"/>
        </w:rPr>
        <w:t>配套建设</w:t>
      </w:r>
      <w:r>
        <w:rPr>
          <w:rFonts w:hint="eastAsia"/>
          <w:color w:val="auto"/>
        </w:rPr>
        <w:t>，全面</w:t>
      </w:r>
      <w:r>
        <w:rPr>
          <w:color w:val="auto"/>
        </w:rPr>
        <w:t>覆盖高新区内工业级生活用热需求。</w:t>
      </w:r>
    </w:p>
    <w:p>
      <w:pPr>
        <w:ind w:firstLine="560"/>
        <w:rPr>
          <w:color w:val="auto"/>
        </w:rPr>
      </w:pPr>
      <w:r>
        <w:rPr>
          <w:color w:val="auto"/>
        </w:rPr>
        <w:br w:type="page"/>
      </w:r>
    </w:p>
    <w:p>
      <w:pPr>
        <w:pStyle w:val="2"/>
        <w:rPr>
          <w:color w:val="auto"/>
        </w:rPr>
      </w:pPr>
      <w:bookmarkStart w:id="39" w:name="_Toc40625174"/>
      <w:r>
        <w:rPr>
          <w:rFonts w:hint="eastAsia"/>
          <w:color w:val="auto"/>
        </w:rPr>
        <w:t>区域</w:t>
      </w:r>
      <w:r>
        <w:rPr>
          <w:color w:val="auto"/>
        </w:rPr>
        <w:t>用能预测及总量控制分析</w:t>
      </w:r>
      <w:bookmarkEnd w:id="39"/>
    </w:p>
    <w:p>
      <w:pPr>
        <w:pStyle w:val="3"/>
        <w:ind w:firstLine="643"/>
        <w:rPr>
          <w:color w:val="auto"/>
        </w:rPr>
      </w:pPr>
      <w:bookmarkStart w:id="40" w:name="_Toc40625175"/>
      <w:r>
        <w:rPr>
          <w:color w:val="auto"/>
        </w:rPr>
        <w:t>4.1</w:t>
      </w:r>
      <w:r>
        <w:rPr>
          <w:rFonts w:hint="eastAsia"/>
          <w:color w:val="auto"/>
        </w:rPr>
        <w:t>区域能源</w:t>
      </w:r>
      <w:r>
        <w:rPr>
          <w:rFonts w:ascii="黑体" w:hAnsi="黑体"/>
          <w:color w:val="auto"/>
        </w:rPr>
        <w:t>“</w:t>
      </w:r>
      <w:r>
        <w:rPr>
          <w:rFonts w:hint="eastAsia" w:ascii="黑体" w:hAnsi="黑体"/>
          <w:color w:val="auto"/>
        </w:rPr>
        <w:t>双控</w:t>
      </w:r>
      <w:r>
        <w:rPr>
          <w:rFonts w:ascii="黑体" w:hAnsi="黑体"/>
          <w:color w:val="auto"/>
        </w:rPr>
        <w:t>”</w:t>
      </w:r>
      <w:r>
        <w:rPr>
          <w:rFonts w:hint="eastAsia"/>
          <w:color w:val="auto"/>
        </w:rPr>
        <w:t>目标</w:t>
      </w:r>
      <w:r>
        <w:rPr>
          <w:color w:val="auto"/>
        </w:rPr>
        <w:t>完成情况</w:t>
      </w:r>
      <w:bookmarkEnd w:id="40"/>
    </w:p>
    <w:p>
      <w:pPr>
        <w:ind w:firstLine="560"/>
        <w:rPr>
          <w:color w:val="auto"/>
        </w:rPr>
      </w:pPr>
      <w:r>
        <w:rPr>
          <w:rFonts w:hint="eastAsia"/>
          <w:color w:val="auto"/>
        </w:rPr>
        <w:t>根据《省人民政府关于印发湖北省“十三五”节能减排综合工作方案的通知》（鄂政发〔2017〕27号）：“十三五”期间，全省单位生产总值能耗下降率目标值为16%，能源消费增量不超过2500万tce；咸宁市单位生产总值能耗下降率为1</w:t>
      </w:r>
      <w:r>
        <w:rPr>
          <w:color w:val="auto"/>
        </w:rPr>
        <w:t>3</w:t>
      </w:r>
      <w:r>
        <w:rPr>
          <w:rFonts w:hint="eastAsia"/>
          <w:color w:val="auto"/>
        </w:rPr>
        <w:t>%，能源消费增量不超过</w:t>
      </w:r>
      <w:r>
        <w:rPr>
          <w:color w:val="auto"/>
        </w:rPr>
        <w:t>10</w:t>
      </w:r>
      <w:r>
        <w:rPr>
          <w:rFonts w:hint="eastAsia"/>
          <w:color w:val="auto"/>
        </w:rPr>
        <w:t>5万tce。</w:t>
      </w:r>
    </w:p>
    <w:p>
      <w:pPr>
        <w:ind w:firstLine="560"/>
        <w:rPr>
          <w:color w:val="auto"/>
        </w:rPr>
      </w:pPr>
      <w:r>
        <w:rPr>
          <w:rFonts w:hint="eastAsia"/>
          <w:color w:val="auto"/>
        </w:rPr>
        <w:t>参考咸宁市“十三五”双控</w:t>
      </w:r>
      <w:r>
        <w:rPr>
          <w:color w:val="auto"/>
        </w:rPr>
        <w:t>指标，</w:t>
      </w:r>
      <w:r>
        <w:rPr>
          <w:rFonts w:hint="eastAsia"/>
          <w:color w:val="auto"/>
        </w:rPr>
        <w:t>根据咸宁高新区201</w:t>
      </w:r>
      <w:r>
        <w:rPr>
          <w:color w:val="auto"/>
        </w:rPr>
        <w:t>6</w:t>
      </w:r>
      <w:r>
        <w:rPr>
          <w:rFonts w:hint="eastAsia"/>
          <w:color w:val="auto"/>
        </w:rPr>
        <w:t>~-201</w:t>
      </w:r>
      <w:r>
        <w:rPr>
          <w:color w:val="auto"/>
        </w:rPr>
        <w:t>9</w:t>
      </w:r>
      <w:r>
        <w:rPr>
          <w:rFonts w:hint="eastAsia"/>
          <w:color w:val="auto"/>
        </w:rPr>
        <w:t>年规上工业</w:t>
      </w:r>
      <w:r>
        <w:rPr>
          <w:color w:val="auto"/>
        </w:rPr>
        <w:t>产值及</w:t>
      </w:r>
      <w:r>
        <w:rPr>
          <w:rFonts w:hint="eastAsia"/>
          <w:color w:val="auto"/>
        </w:rPr>
        <w:t>能耗数据</w:t>
      </w:r>
      <w:r>
        <w:rPr>
          <w:color w:val="auto"/>
        </w:rPr>
        <w:t>，</w:t>
      </w:r>
      <w:r>
        <w:rPr>
          <w:rFonts w:hint="eastAsia"/>
          <w:color w:val="auto"/>
        </w:rPr>
        <w:t>较“十二五”末期，咸宁</w:t>
      </w:r>
      <w:r>
        <w:rPr>
          <w:color w:val="auto"/>
        </w:rPr>
        <w:t>高新区</w:t>
      </w:r>
      <w:r>
        <w:rPr>
          <w:rFonts w:hint="eastAsia"/>
          <w:color w:val="auto"/>
        </w:rPr>
        <w:t>2019年</w:t>
      </w:r>
      <w:r>
        <w:rPr>
          <w:color w:val="auto"/>
        </w:rPr>
        <w:t>单位</w:t>
      </w:r>
      <w:r>
        <w:rPr>
          <w:rFonts w:hint="eastAsia"/>
          <w:color w:val="auto"/>
        </w:rPr>
        <w:t>工业</w:t>
      </w:r>
      <w:r>
        <w:rPr>
          <w:color w:val="auto"/>
        </w:rPr>
        <w:t>产值能耗</w:t>
      </w:r>
      <w:r>
        <w:rPr>
          <w:rFonts w:hint="eastAsia"/>
          <w:color w:val="auto"/>
        </w:rPr>
        <w:t>（等价</w:t>
      </w:r>
      <w:r>
        <w:rPr>
          <w:color w:val="auto"/>
        </w:rPr>
        <w:t>值</w:t>
      </w:r>
      <w:r>
        <w:rPr>
          <w:rFonts w:hint="eastAsia"/>
          <w:color w:val="auto"/>
        </w:rPr>
        <w:t>）</w:t>
      </w:r>
      <w:r>
        <w:rPr>
          <w:color w:val="auto"/>
        </w:rPr>
        <w:t>下降率为15.21%</w:t>
      </w:r>
      <w:r>
        <w:rPr>
          <w:rFonts w:hint="eastAsia"/>
          <w:color w:val="auto"/>
        </w:rPr>
        <w:t>，能源消费增量为</w:t>
      </w:r>
      <w:r>
        <w:rPr>
          <w:color w:val="auto"/>
        </w:rPr>
        <w:t>44043.40吨标煤</w:t>
      </w:r>
      <w:r>
        <w:rPr>
          <w:rFonts w:hint="eastAsia"/>
          <w:color w:val="auto"/>
        </w:rPr>
        <w:t>（等价</w:t>
      </w:r>
      <w:r>
        <w:rPr>
          <w:color w:val="auto"/>
        </w:rPr>
        <w:t>值</w:t>
      </w:r>
      <w:r>
        <w:rPr>
          <w:rFonts w:hint="eastAsia"/>
          <w:color w:val="auto"/>
        </w:rPr>
        <w:t>）。</w:t>
      </w:r>
    </w:p>
    <w:p>
      <w:pPr>
        <w:pStyle w:val="9"/>
        <w:keepNext/>
        <w:rPr>
          <w:color w:val="auto"/>
        </w:rPr>
      </w:pPr>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高新区</w:t>
      </w:r>
      <w:r>
        <w:rPr>
          <w:color w:val="auto"/>
        </w:rPr>
        <w:t>规上</w:t>
      </w:r>
      <w:r>
        <w:rPr>
          <w:rFonts w:hint="eastAsia"/>
          <w:color w:val="auto"/>
        </w:rPr>
        <w:t>工业</w:t>
      </w:r>
      <w:r>
        <w:rPr>
          <w:color w:val="auto"/>
        </w:rPr>
        <w:t>企业</w:t>
      </w:r>
      <w:r>
        <w:rPr>
          <w:rFonts w:hint="eastAsia"/>
          <w:color w:val="auto"/>
        </w:rPr>
        <w:t>近年能源消费及</w:t>
      </w:r>
      <w:r>
        <w:rPr>
          <w:color w:val="auto"/>
        </w:rPr>
        <w:t>产值情况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04"/>
        <w:gridCol w:w="1403"/>
        <w:gridCol w:w="1404"/>
        <w:gridCol w:w="1403"/>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Merge w:val="restart"/>
            <w:vAlign w:val="center"/>
          </w:tcPr>
          <w:p>
            <w:pPr>
              <w:spacing w:line="240" w:lineRule="auto"/>
              <w:ind w:firstLine="0" w:firstLineChars="0"/>
              <w:jc w:val="center"/>
              <w:rPr>
                <w:b/>
                <w:color w:val="auto"/>
                <w:sz w:val="24"/>
              </w:rPr>
            </w:pPr>
            <w:r>
              <w:rPr>
                <w:rFonts w:hint="eastAsia"/>
                <w:b/>
                <w:color w:val="auto"/>
                <w:sz w:val="24"/>
              </w:rPr>
              <w:t>年份</w:t>
            </w:r>
          </w:p>
        </w:tc>
        <w:tc>
          <w:tcPr>
            <w:tcW w:w="1667" w:type="pct"/>
            <w:gridSpan w:val="2"/>
            <w:vAlign w:val="center"/>
          </w:tcPr>
          <w:p>
            <w:pPr>
              <w:spacing w:line="240" w:lineRule="auto"/>
              <w:ind w:firstLine="0" w:firstLineChars="0"/>
              <w:jc w:val="center"/>
              <w:rPr>
                <w:b/>
                <w:color w:val="auto"/>
                <w:sz w:val="24"/>
              </w:rPr>
            </w:pPr>
            <w:r>
              <w:rPr>
                <w:rFonts w:hint="eastAsia"/>
                <w:b/>
                <w:color w:val="auto"/>
                <w:sz w:val="24"/>
              </w:rPr>
              <w:t>能源</w:t>
            </w:r>
            <w:r>
              <w:rPr>
                <w:b/>
                <w:color w:val="auto"/>
                <w:sz w:val="24"/>
              </w:rPr>
              <w:t>消费量（tce）</w:t>
            </w:r>
          </w:p>
        </w:tc>
        <w:tc>
          <w:tcPr>
            <w:tcW w:w="833" w:type="pct"/>
            <w:vMerge w:val="restart"/>
            <w:vAlign w:val="center"/>
          </w:tcPr>
          <w:p>
            <w:pPr>
              <w:spacing w:line="240" w:lineRule="auto"/>
              <w:ind w:firstLine="0" w:firstLineChars="0"/>
              <w:jc w:val="center"/>
              <w:rPr>
                <w:b/>
                <w:color w:val="auto"/>
                <w:sz w:val="24"/>
              </w:rPr>
            </w:pPr>
            <w:r>
              <w:rPr>
                <w:rFonts w:hint="eastAsia"/>
                <w:b/>
                <w:color w:val="auto"/>
                <w:sz w:val="24"/>
              </w:rPr>
              <w:t>工业总产值</w:t>
            </w:r>
          </w:p>
          <w:p>
            <w:pPr>
              <w:spacing w:line="240" w:lineRule="auto"/>
              <w:ind w:firstLine="0" w:firstLineChars="0"/>
              <w:jc w:val="center"/>
              <w:rPr>
                <w:b/>
                <w:color w:val="auto"/>
                <w:sz w:val="24"/>
              </w:rPr>
            </w:pPr>
            <w:r>
              <w:rPr>
                <w:rFonts w:hint="eastAsia"/>
                <w:b/>
                <w:color w:val="auto"/>
                <w:sz w:val="24"/>
              </w:rPr>
              <w:t>（万元）</w:t>
            </w:r>
          </w:p>
        </w:tc>
        <w:tc>
          <w:tcPr>
            <w:tcW w:w="1666" w:type="pct"/>
            <w:gridSpan w:val="2"/>
            <w:vAlign w:val="center"/>
          </w:tcPr>
          <w:p>
            <w:pPr>
              <w:spacing w:line="240" w:lineRule="auto"/>
              <w:ind w:firstLine="0" w:firstLineChars="0"/>
              <w:jc w:val="center"/>
              <w:rPr>
                <w:b/>
                <w:color w:val="auto"/>
                <w:sz w:val="24"/>
              </w:rPr>
            </w:pPr>
            <w:r>
              <w:rPr>
                <w:rFonts w:hint="eastAsia"/>
                <w:b/>
                <w:color w:val="auto"/>
                <w:sz w:val="24"/>
              </w:rPr>
              <w:t>单位</w:t>
            </w:r>
            <w:r>
              <w:rPr>
                <w:b/>
                <w:color w:val="auto"/>
                <w:sz w:val="24"/>
              </w:rPr>
              <w:t>能耗</w:t>
            </w:r>
            <w:r>
              <w:rPr>
                <w:rFonts w:hint="eastAsia"/>
                <w:b/>
                <w:color w:val="auto"/>
                <w:sz w:val="24"/>
              </w:rPr>
              <w:t>（tce</w:t>
            </w:r>
            <w:r>
              <w:rPr>
                <w:b/>
                <w:color w:val="auto"/>
                <w:sz w:val="24"/>
              </w:rPr>
              <w:t>/</w:t>
            </w:r>
            <w:r>
              <w:rPr>
                <w:rFonts w:hint="eastAsia"/>
                <w:b/>
                <w:color w:val="auto"/>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Merge w:val="continue"/>
            <w:vAlign w:val="center"/>
          </w:tcPr>
          <w:p>
            <w:pPr>
              <w:spacing w:line="240" w:lineRule="auto"/>
              <w:ind w:firstLine="0" w:firstLineChars="0"/>
              <w:jc w:val="center"/>
              <w:rPr>
                <w:b/>
                <w:color w:val="auto"/>
                <w:sz w:val="24"/>
              </w:rPr>
            </w:pPr>
          </w:p>
        </w:tc>
        <w:tc>
          <w:tcPr>
            <w:tcW w:w="833" w:type="pct"/>
            <w:vAlign w:val="center"/>
          </w:tcPr>
          <w:p>
            <w:pPr>
              <w:spacing w:line="240" w:lineRule="auto"/>
              <w:ind w:firstLine="0" w:firstLineChars="0"/>
              <w:jc w:val="center"/>
              <w:rPr>
                <w:b/>
                <w:color w:val="auto"/>
                <w:sz w:val="24"/>
              </w:rPr>
            </w:pPr>
            <w:r>
              <w:rPr>
                <w:rFonts w:hint="eastAsia"/>
                <w:b/>
                <w:color w:val="auto"/>
                <w:sz w:val="24"/>
              </w:rPr>
              <w:t>当量</w:t>
            </w:r>
          </w:p>
        </w:tc>
        <w:tc>
          <w:tcPr>
            <w:tcW w:w="834" w:type="pct"/>
          </w:tcPr>
          <w:p>
            <w:pPr>
              <w:spacing w:line="240" w:lineRule="auto"/>
              <w:ind w:firstLine="0" w:firstLineChars="0"/>
              <w:jc w:val="center"/>
              <w:rPr>
                <w:b/>
                <w:color w:val="auto"/>
                <w:sz w:val="24"/>
              </w:rPr>
            </w:pPr>
            <w:r>
              <w:rPr>
                <w:rFonts w:hint="eastAsia"/>
                <w:b/>
                <w:color w:val="auto"/>
                <w:sz w:val="24"/>
              </w:rPr>
              <w:t>等价</w:t>
            </w:r>
          </w:p>
        </w:tc>
        <w:tc>
          <w:tcPr>
            <w:tcW w:w="833" w:type="pct"/>
            <w:vMerge w:val="continue"/>
            <w:vAlign w:val="center"/>
          </w:tcPr>
          <w:p>
            <w:pPr>
              <w:spacing w:line="240" w:lineRule="auto"/>
              <w:ind w:firstLine="0" w:firstLineChars="0"/>
              <w:jc w:val="center"/>
              <w:rPr>
                <w:b/>
                <w:color w:val="auto"/>
                <w:sz w:val="24"/>
              </w:rPr>
            </w:pPr>
          </w:p>
        </w:tc>
        <w:tc>
          <w:tcPr>
            <w:tcW w:w="833" w:type="pct"/>
            <w:vAlign w:val="center"/>
          </w:tcPr>
          <w:p>
            <w:pPr>
              <w:spacing w:line="240" w:lineRule="auto"/>
              <w:ind w:firstLine="0" w:firstLineChars="0"/>
              <w:jc w:val="center"/>
              <w:rPr>
                <w:b/>
                <w:color w:val="auto"/>
                <w:sz w:val="24"/>
              </w:rPr>
            </w:pPr>
            <w:r>
              <w:rPr>
                <w:rFonts w:hint="eastAsia"/>
                <w:b/>
                <w:color w:val="auto"/>
                <w:sz w:val="24"/>
              </w:rPr>
              <w:t>当量</w:t>
            </w:r>
          </w:p>
        </w:tc>
        <w:tc>
          <w:tcPr>
            <w:tcW w:w="833" w:type="pct"/>
          </w:tcPr>
          <w:p>
            <w:pPr>
              <w:spacing w:line="240" w:lineRule="auto"/>
              <w:ind w:firstLine="0" w:firstLineChars="0"/>
              <w:jc w:val="center"/>
              <w:rPr>
                <w:b/>
                <w:color w:val="auto"/>
                <w:sz w:val="24"/>
              </w:rPr>
            </w:pPr>
            <w:r>
              <w:rPr>
                <w:rFonts w:hint="eastAsia"/>
                <w:b/>
                <w:color w:val="auto"/>
                <w:sz w:val="24"/>
              </w:rPr>
              <w:t>等价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Align w:val="center"/>
          </w:tcPr>
          <w:p>
            <w:pPr>
              <w:spacing w:line="240" w:lineRule="auto"/>
              <w:ind w:firstLine="0" w:firstLineChars="0"/>
              <w:jc w:val="center"/>
              <w:rPr>
                <w:color w:val="auto"/>
                <w:sz w:val="24"/>
              </w:rPr>
            </w:pPr>
            <w:r>
              <w:rPr>
                <w:rFonts w:hint="eastAsia"/>
                <w:color w:val="auto"/>
                <w:sz w:val="24"/>
              </w:rPr>
              <w:t>2015</w:t>
            </w:r>
          </w:p>
        </w:tc>
        <w:tc>
          <w:tcPr>
            <w:tcW w:w="833" w:type="pct"/>
            <w:vAlign w:val="center"/>
          </w:tcPr>
          <w:p>
            <w:pPr>
              <w:spacing w:line="240" w:lineRule="auto"/>
              <w:ind w:firstLine="0" w:firstLineChars="0"/>
              <w:jc w:val="center"/>
              <w:rPr>
                <w:color w:val="auto"/>
                <w:sz w:val="24"/>
              </w:rPr>
            </w:pPr>
            <w:r>
              <w:rPr>
                <w:color w:val="auto"/>
                <w:sz w:val="24"/>
              </w:rPr>
              <w:t>204433.40</w:t>
            </w:r>
          </w:p>
        </w:tc>
        <w:tc>
          <w:tcPr>
            <w:tcW w:w="834" w:type="pct"/>
            <w:vAlign w:val="center"/>
          </w:tcPr>
          <w:p>
            <w:pPr>
              <w:spacing w:line="240" w:lineRule="auto"/>
              <w:ind w:firstLine="0" w:firstLineChars="0"/>
              <w:jc w:val="center"/>
              <w:rPr>
                <w:color w:val="auto"/>
                <w:sz w:val="24"/>
              </w:rPr>
            </w:pPr>
            <w:r>
              <w:rPr>
                <w:color w:val="auto"/>
                <w:sz w:val="24"/>
              </w:rPr>
              <w:t>253180.86</w:t>
            </w:r>
          </w:p>
        </w:tc>
        <w:tc>
          <w:tcPr>
            <w:tcW w:w="833" w:type="pct"/>
            <w:vAlign w:val="center"/>
          </w:tcPr>
          <w:p>
            <w:pPr>
              <w:spacing w:line="240" w:lineRule="auto"/>
              <w:ind w:firstLine="0" w:firstLineChars="0"/>
              <w:jc w:val="center"/>
              <w:rPr>
                <w:color w:val="auto"/>
                <w:sz w:val="24"/>
              </w:rPr>
            </w:pPr>
            <w:r>
              <w:rPr>
                <w:color w:val="auto"/>
                <w:sz w:val="24"/>
              </w:rPr>
              <w:t>1290000</w:t>
            </w:r>
          </w:p>
        </w:tc>
        <w:tc>
          <w:tcPr>
            <w:tcW w:w="833" w:type="pct"/>
            <w:vAlign w:val="center"/>
          </w:tcPr>
          <w:p>
            <w:pPr>
              <w:spacing w:line="240" w:lineRule="auto"/>
              <w:ind w:firstLine="0" w:firstLineChars="0"/>
              <w:jc w:val="center"/>
              <w:rPr>
                <w:color w:val="auto"/>
                <w:sz w:val="24"/>
              </w:rPr>
            </w:pPr>
            <w:r>
              <w:rPr>
                <w:color w:val="auto"/>
                <w:sz w:val="24"/>
              </w:rPr>
              <w:t>0.1585</w:t>
            </w:r>
          </w:p>
        </w:tc>
        <w:tc>
          <w:tcPr>
            <w:tcW w:w="833" w:type="pct"/>
            <w:vAlign w:val="center"/>
          </w:tcPr>
          <w:p>
            <w:pPr>
              <w:spacing w:line="240" w:lineRule="auto"/>
              <w:ind w:firstLine="0" w:firstLineChars="0"/>
              <w:jc w:val="center"/>
              <w:rPr>
                <w:color w:val="auto"/>
                <w:sz w:val="24"/>
              </w:rPr>
            </w:pPr>
            <w:r>
              <w:rPr>
                <w:color w:val="auto"/>
                <w:sz w:val="24"/>
              </w:rPr>
              <w:t>0.1963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Align w:val="center"/>
          </w:tcPr>
          <w:p>
            <w:pPr>
              <w:spacing w:line="240" w:lineRule="auto"/>
              <w:ind w:firstLine="0" w:firstLineChars="0"/>
              <w:jc w:val="center"/>
              <w:rPr>
                <w:color w:val="auto"/>
                <w:sz w:val="24"/>
              </w:rPr>
            </w:pPr>
            <w:r>
              <w:rPr>
                <w:rFonts w:hint="eastAsia"/>
                <w:color w:val="auto"/>
                <w:sz w:val="24"/>
              </w:rPr>
              <w:t>2016</w:t>
            </w:r>
          </w:p>
        </w:tc>
        <w:tc>
          <w:tcPr>
            <w:tcW w:w="833" w:type="pct"/>
            <w:vAlign w:val="center"/>
          </w:tcPr>
          <w:p>
            <w:pPr>
              <w:spacing w:line="240" w:lineRule="auto"/>
              <w:ind w:firstLine="0" w:firstLineChars="0"/>
              <w:jc w:val="center"/>
              <w:rPr>
                <w:color w:val="auto"/>
                <w:sz w:val="24"/>
              </w:rPr>
            </w:pPr>
            <w:r>
              <w:rPr>
                <w:color w:val="auto"/>
                <w:sz w:val="24"/>
              </w:rPr>
              <w:t>182402.29</w:t>
            </w:r>
          </w:p>
        </w:tc>
        <w:tc>
          <w:tcPr>
            <w:tcW w:w="834" w:type="pct"/>
            <w:vAlign w:val="center"/>
          </w:tcPr>
          <w:p>
            <w:pPr>
              <w:spacing w:line="240" w:lineRule="auto"/>
              <w:ind w:firstLine="0" w:firstLineChars="0"/>
              <w:jc w:val="center"/>
              <w:rPr>
                <w:color w:val="auto"/>
                <w:sz w:val="24"/>
              </w:rPr>
            </w:pPr>
            <w:r>
              <w:rPr>
                <w:color w:val="auto"/>
                <w:sz w:val="24"/>
              </w:rPr>
              <w:t>232615.31</w:t>
            </w:r>
          </w:p>
        </w:tc>
        <w:tc>
          <w:tcPr>
            <w:tcW w:w="833" w:type="pct"/>
            <w:vAlign w:val="center"/>
          </w:tcPr>
          <w:p>
            <w:pPr>
              <w:spacing w:line="240" w:lineRule="auto"/>
              <w:ind w:firstLine="0" w:firstLineChars="0"/>
              <w:jc w:val="center"/>
              <w:rPr>
                <w:color w:val="auto"/>
                <w:sz w:val="24"/>
              </w:rPr>
            </w:pPr>
            <w:r>
              <w:rPr>
                <w:color w:val="auto"/>
                <w:sz w:val="24"/>
              </w:rPr>
              <w:t>1500761</w:t>
            </w:r>
          </w:p>
        </w:tc>
        <w:tc>
          <w:tcPr>
            <w:tcW w:w="833" w:type="pct"/>
            <w:vAlign w:val="center"/>
          </w:tcPr>
          <w:p>
            <w:pPr>
              <w:spacing w:line="240" w:lineRule="auto"/>
              <w:ind w:firstLine="0" w:firstLineChars="0"/>
              <w:jc w:val="center"/>
              <w:rPr>
                <w:color w:val="auto"/>
                <w:sz w:val="24"/>
              </w:rPr>
            </w:pPr>
            <w:r>
              <w:rPr>
                <w:color w:val="auto"/>
                <w:sz w:val="24"/>
              </w:rPr>
              <w:t>0.1215</w:t>
            </w:r>
          </w:p>
        </w:tc>
        <w:tc>
          <w:tcPr>
            <w:tcW w:w="833" w:type="pct"/>
            <w:vAlign w:val="center"/>
          </w:tcPr>
          <w:p>
            <w:pPr>
              <w:spacing w:line="240" w:lineRule="auto"/>
              <w:ind w:firstLine="0" w:firstLineChars="0"/>
              <w:jc w:val="center"/>
              <w:rPr>
                <w:color w:val="auto"/>
                <w:sz w:val="24"/>
              </w:rPr>
            </w:pPr>
            <w:r>
              <w:rPr>
                <w:color w:val="auto"/>
                <w:sz w:val="24"/>
              </w:rPr>
              <w:t>0.1550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Align w:val="center"/>
          </w:tcPr>
          <w:p>
            <w:pPr>
              <w:spacing w:line="240" w:lineRule="auto"/>
              <w:ind w:firstLine="0" w:firstLineChars="0"/>
              <w:jc w:val="center"/>
              <w:rPr>
                <w:color w:val="auto"/>
                <w:sz w:val="24"/>
              </w:rPr>
            </w:pPr>
            <w:r>
              <w:rPr>
                <w:rFonts w:hint="eastAsia"/>
                <w:color w:val="auto"/>
                <w:sz w:val="24"/>
              </w:rPr>
              <w:t>2017</w:t>
            </w:r>
          </w:p>
        </w:tc>
        <w:tc>
          <w:tcPr>
            <w:tcW w:w="833" w:type="pct"/>
            <w:vAlign w:val="center"/>
          </w:tcPr>
          <w:p>
            <w:pPr>
              <w:spacing w:line="240" w:lineRule="auto"/>
              <w:ind w:firstLine="0" w:firstLineChars="0"/>
              <w:jc w:val="center"/>
              <w:rPr>
                <w:color w:val="auto"/>
                <w:sz w:val="24"/>
              </w:rPr>
            </w:pPr>
            <w:r>
              <w:rPr>
                <w:color w:val="auto"/>
                <w:sz w:val="24"/>
              </w:rPr>
              <w:t>184959.12</w:t>
            </w:r>
          </w:p>
        </w:tc>
        <w:tc>
          <w:tcPr>
            <w:tcW w:w="834" w:type="pct"/>
            <w:vAlign w:val="center"/>
          </w:tcPr>
          <w:p>
            <w:pPr>
              <w:spacing w:line="240" w:lineRule="auto"/>
              <w:ind w:firstLine="0" w:firstLineChars="0"/>
              <w:jc w:val="center"/>
              <w:rPr>
                <w:color w:val="auto"/>
                <w:sz w:val="24"/>
              </w:rPr>
            </w:pPr>
            <w:r>
              <w:rPr>
                <w:color w:val="auto"/>
                <w:sz w:val="24"/>
              </w:rPr>
              <w:t>245909.75</w:t>
            </w:r>
          </w:p>
        </w:tc>
        <w:tc>
          <w:tcPr>
            <w:tcW w:w="833" w:type="pct"/>
            <w:vAlign w:val="center"/>
          </w:tcPr>
          <w:p>
            <w:pPr>
              <w:spacing w:line="240" w:lineRule="auto"/>
              <w:ind w:firstLine="0" w:firstLineChars="0"/>
              <w:jc w:val="center"/>
              <w:rPr>
                <w:color w:val="auto"/>
                <w:sz w:val="24"/>
              </w:rPr>
            </w:pPr>
            <w:r>
              <w:rPr>
                <w:color w:val="auto"/>
                <w:sz w:val="24"/>
              </w:rPr>
              <w:t>1537830</w:t>
            </w:r>
          </w:p>
        </w:tc>
        <w:tc>
          <w:tcPr>
            <w:tcW w:w="833" w:type="pct"/>
            <w:vAlign w:val="center"/>
          </w:tcPr>
          <w:p>
            <w:pPr>
              <w:spacing w:line="240" w:lineRule="auto"/>
              <w:ind w:firstLine="0" w:firstLineChars="0"/>
              <w:jc w:val="center"/>
              <w:rPr>
                <w:color w:val="auto"/>
                <w:sz w:val="24"/>
              </w:rPr>
            </w:pPr>
            <w:r>
              <w:rPr>
                <w:color w:val="auto"/>
                <w:sz w:val="24"/>
              </w:rPr>
              <w:t>0.1203</w:t>
            </w:r>
          </w:p>
        </w:tc>
        <w:tc>
          <w:tcPr>
            <w:tcW w:w="833" w:type="pct"/>
            <w:vAlign w:val="center"/>
          </w:tcPr>
          <w:p>
            <w:pPr>
              <w:spacing w:line="240" w:lineRule="auto"/>
              <w:ind w:firstLine="0" w:firstLineChars="0"/>
              <w:jc w:val="center"/>
              <w:rPr>
                <w:color w:val="auto"/>
                <w:sz w:val="24"/>
              </w:rPr>
            </w:pPr>
            <w:r>
              <w:rPr>
                <w:color w:val="auto"/>
                <w:sz w:val="24"/>
              </w:rPr>
              <w:t>0.1599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Align w:val="center"/>
          </w:tcPr>
          <w:p>
            <w:pPr>
              <w:spacing w:line="240" w:lineRule="auto"/>
              <w:ind w:firstLine="0" w:firstLineChars="0"/>
              <w:jc w:val="center"/>
              <w:rPr>
                <w:color w:val="auto"/>
                <w:sz w:val="24"/>
              </w:rPr>
            </w:pPr>
            <w:r>
              <w:rPr>
                <w:rFonts w:hint="eastAsia"/>
                <w:color w:val="auto"/>
                <w:sz w:val="24"/>
              </w:rPr>
              <w:t>2018</w:t>
            </w:r>
          </w:p>
        </w:tc>
        <w:tc>
          <w:tcPr>
            <w:tcW w:w="833" w:type="pct"/>
            <w:vAlign w:val="center"/>
          </w:tcPr>
          <w:p>
            <w:pPr>
              <w:spacing w:line="240" w:lineRule="auto"/>
              <w:ind w:firstLine="0" w:firstLineChars="0"/>
              <w:jc w:val="center"/>
              <w:rPr>
                <w:color w:val="auto"/>
                <w:sz w:val="24"/>
              </w:rPr>
            </w:pPr>
            <w:r>
              <w:rPr>
                <w:color w:val="auto"/>
                <w:sz w:val="24"/>
              </w:rPr>
              <w:t>190083.11</w:t>
            </w:r>
          </w:p>
        </w:tc>
        <w:tc>
          <w:tcPr>
            <w:tcW w:w="834" w:type="pct"/>
            <w:vAlign w:val="center"/>
          </w:tcPr>
          <w:p>
            <w:pPr>
              <w:spacing w:line="240" w:lineRule="auto"/>
              <w:ind w:firstLine="0" w:firstLineChars="0"/>
              <w:jc w:val="center"/>
              <w:rPr>
                <w:color w:val="auto"/>
                <w:sz w:val="24"/>
              </w:rPr>
            </w:pPr>
            <w:r>
              <w:rPr>
                <w:color w:val="auto"/>
                <w:sz w:val="24"/>
              </w:rPr>
              <w:t>253768.40</w:t>
            </w:r>
          </w:p>
        </w:tc>
        <w:tc>
          <w:tcPr>
            <w:tcW w:w="833" w:type="pct"/>
            <w:vAlign w:val="center"/>
          </w:tcPr>
          <w:p>
            <w:pPr>
              <w:spacing w:line="240" w:lineRule="auto"/>
              <w:ind w:firstLine="0" w:firstLineChars="0"/>
              <w:jc w:val="center"/>
              <w:rPr>
                <w:color w:val="auto"/>
                <w:sz w:val="24"/>
              </w:rPr>
            </w:pPr>
            <w:r>
              <w:rPr>
                <w:color w:val="auto"/>
                <w:sz w:val="24"/>
              </w:rPr>
              <w:t>1619011</w:t>
            </w:r>
          </w:p>
        </w:tc>
        <w:tc>
          <w:tcPr>
            <w:tcW w:w="833" w:type="pct"/>
            <w:vAlign w:val="center"/>
          </w:tcPr>
          <w:p>
            <w:pPr>
              <w:spacing w:line="240" w:lineRule="auto"/>
              <w:ind w:firstLine="0" w:firstLineChars="0"/>
              <w:jc w:val="center"/>
              <w:rPr>
                <w:color w:val="auto"/>
                <w:sz w:val="24"/>
              </w:rPr>
            </w:pPr>
            <w:r>
              <w:rPr>
                <w:color w:val="auto"/>
                <w:sz w:val="24"/>
              </w:rPr>
              <w:t>0.1174</w:t>
            </w:r>
          </w:p>
        </w:tc>
        <w:tc>
          <w:tcPr>
            <w:tcW w:w="833" w:type="pct"/>
            <w:vAlign w:val="center"/>
          </w:tcPr>
          <w:p>
            <w:pPr>
              <w:spacing w:line="240" w:lineRule="auto"/>
              <w:ind w:firstLine="0" w:firstLineChars="0"/>
              <w:jc w:val="center"/>
              <w:rPr>
                <w:color w:val="auto"/>
                <w:sz w:val="24"/>
              </w:rPr>
            </w:pPr>
            <w:r>
              <w:rPr>
                <w:color w:val="auto"/>
                <w:sz w:val="24"/>
              </w:rPr>
              <w:t>0.1567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34" w:type="pct"/>
            <w:vAlign w:val="center"/>
          </w:tcPr>
          <w:p>
            <w:pPr>
              <w:spacing w:line="240" w:lineRule="auto"/>
              <w:ind w:firstLine="0" w:firstLineChars="0"/>
              <w:jc w:val="center"/>
              <w:rPr>
                <w:color w:val="auto"/>
                <w:sz w:val="24"/>
              </w:rPr>
            </w:pPr>
            <w:r>
              <w:rPr>
                <w:rFonts w:hint="eastAsia"/>
                <w:color w:val="auto"/>
                <w:sz w:val="24"/>
              </w:rPr>
              <w:t>2019</w:t>
            </w:r>
          </w:p>
        </w:tc>
        <w:tc>
          <w:tcPr>
            <w:tcW w:w="833" w:type="pct"/>
            <w:vAlign w:val="center"/>
          </w:tcPr>
          <w:p>
            <w:pPr>
              <w:spacing w:line="240" w:lineRule="auto"/>
              <w:ind w:firstLine="0" w:firstLineChars="0"/>
              <w:jc w:val="center"/>
              <w:rPr>
                <w:color w:val="auto"/>
                <w:sz w:val="24"/>
              </w:rPr>
            </w:pPr>
            <w:r>
              <w:rPr>
                <w:color w:val="auto"/>
                <w:sz w:val="24"/>
              </w:rPr>
              <w:t>220981.16</w:t>
            </w:r>
          </w:p>
        </w:tc>
        <w:tc>
          <w:tcPr>
            <w:tcW w:w="834" w:type="pct"/>
            <w:vAlign w:val="center"/>
          </w:tcPr>
          <w:p>
            <w:pPr>
              <w:spacing w:line="240" w:lineRule="auto"/>
              <w:ind w:firstLine="0" w:firstLineChars="0"/>
              <w:jc w:val="center"/>
              <w:rPr>
                <w:color w:val="auto"/>
                <w:sz w:val="24"/>
              </w:rPr>
            </w:pPr>
            <w:r>
              <w:rPr>
                <w:color w:val="auto"/>
                <w:sz w:val="24"/>
              </w:rPr>
              <w:t>297224.26</w:t>
            </w:r>
          </w:p>
        </w:tc>
        <w:tc>
          <w:tcPr>
            <w:tcW w:w="833" w:type="pct"/>
            <w:vAlign w:val="center"/>
          </w:tcPr>
          <w:p>
            <w:pPr>
              <w:spacing w:line="240" w:lineRule="auto"/>
              <w:ind w:firstLine="0" w:firstLineChars="0"/>
              <w:jc w:val="center"/>
              <w:rPr>
                <w:color w:val="auto"/>
                <w:sz w:val="24"/>
              </w:rPr>
            </w:pPr>
            <w:r>
              <w:rPr>
                <w:color w:val="auto"/>
                <w:sz w:val="24"/>
              </w:rPr>
              <w:t>1785996</w:t>
            </w:r>
          </w:p>
        </w:tc>
        <w:tc>
          <w:tcPr>
            <w:tcW w:w="833" w:type="pct"/>
            <w:vAlign w:val="center"/>
          </w:tcPr>
          <w:p>
            <w:pPr>
              <w:spacing w:line="240" w:lineRule="auto"/>
              <w:ind w:firstLine="0" w:firstLineChars="0"/>
              <w:jc w:val="center"/>
              <w:rPr>
                <w:color w:val="auto"/>
                <w:sz w:val="24"/>
              </w:rPr>
            </w:pPr>
            <w:r>
              <w:rPr>
                <w:color w:val="auto"/>
                <w:sz w:val="24"/>
              </w:rPr>
              <w:t>0.1237</w:t>
            </w:r>
          </w:p>
        </w:tc>
        <w:tc>
          <w:tcPr>
            <w:tcW w:w="833" w:type="pct"/>
            <w:vAlign w:val="center"/>
          </w:tcPr>
          <w:p>
            <w:pPr>
              <w:spacing w:line="240" w:lineRule="auto"/>
              <w:ind w:firstLine="0" w:firstLineChars="0"/>
              <w:jc w:val="center"/>
              <w:rPr>
                <w:color w:val="auto"/>
                <w:sz w:val="24"/>
              </w:rPr>
            </w:pPr>
            <w:r>
              <w:rPr>
                <w:color w:val="auto"/>
                <w:sz w:val="24"/>
              </w:rPr>
              <w:t>0.1664</w:t>
            </w:r>
          </w:p>
        </w:tc>
      </w:tr>
    </w:tbl>
    <w:p>
      <w:pPr>
        <w:spacing w:line="240" w:lineRule="auto"/>
        <w:ind w:firstLine="360"/>
        <w:rPr>
          <w:color w:val="auto"/>
          <w:sz w:val="18"/>
        </w:rPr>
      </w:pPr>
    </w:p>
    <w:p>
      <w:pPr>
        <w:pStyle w:val="3"/>
        <w:ind w:firstLine="643"/>
        <w:rPr>
          <w:color w:val="auto"/>
        </w:rPr>
      </w:pPr>
      <w:bookmarkStart w:id="41" w:name="_Toc40625176"/>
      <w:r>
        <w:rPr>
          <w:rFonts w:hint="eastAsia"/>
          <w:color w:val="auto"/>
        </w:rPr>
        <w:t>4.2区域</w:t>
      </w:r>
      <w:r>
        <w:rPr>
          <w:color w:val="auto"/>
        </w:rPr>
        <w:t>能源</w:t>
      </w:r>
      <w:r>
        <w:rPr>
          <w:rFonts w:hint="eastAsia"/>
          <w:color w:val="auto"/>
        </w:rPr>
        <w:t>“</w:t>
      </w:r>
      <w:r>
        <w:rPr>
          <w:color w:val="auto"/>
        </w:rPr>
        <w:t>双控</w:t>
      </w:r>
      <w:r>
        <w:rPr>
          <w:rFonts w:hint="eastAsia"/>
          <w:color w:val="auto"/>
        </w:rPr>
        <w:t>”</w:t>
      </w:r>
      <w:r>
        <w:rPr>
          <w:color w:val="auto"/>
        </w:rPr>
        <w:t>指标确定</w:t>
      </w:r>
      <w:bookmarkEnd w:id="41"/>
    </w:p>
    <w:p>
      <w:pPr>
        <w:ind w:firstLine="560"/>
        <w:rPr>
          <w:color w:val="auto"/>
        </w:rPr>
      </w:pPr>
      <w:r>
        <w:rPr>
          <w:rFonts w:hint="eastAsia"/>
          <w:color w:val="auto"/>
        </w:rPr>
        <w:t>此次评估期限为20</w:t>
      </w:r>
      <w:r>
        <w:rPr>
          <w:color w:val="auto"/>
        </w:rPr>
        <w:t>20</w:t>
      </w:r>
      <w:r>
        <w:rPr>
          <w:rFonts w:hint="eastAsia"/>
          <w:color w:val="auto"/>
        </w:rPr>
        <w:t>~2022年，咸宁高新区目前工业</w:t>
      </w:r>
      <w:r>
        <w:rPr>
          <w:color w:val="auto"/>
        </w:rPr>
        <w:t>企业生产</w:t>
      </w:r>
      <w:r>
        <w:rPr>
          <w:rFonts w:hint="eastAsia"/>
          <w:color w:val="auto"/>
        </w:rPr>
        <w:t>较为</w:t>
      </w:r>
      <w:r>
        <w:rPr>
          <w:color w:val="auto"/>
        </w:rPr>
        <w:t>稳定，</w:t>
      </w:r>
      <w:r>
        <w:rPr>
          <w:rFonts w:hint="eastAsia"/>
          <w:color w:val="auto"/>
        </w:rPr>
        <w:t>参考</w:t>
      </w:r>
      <w:r>
        <w:rPr>
          <w:color w:val="auto"/>
        </w:rPr>
        <w:t>高新区发展规划</w:t>
      </w:r>
      <w:r>
        <w:rPr>
          <w:rFonts w:hint="eastAsia"/>
          <w:color w:val="auto"/>
        </w:rPr>
        <w:t>结合国内</w:t>
      </w:r>
      <w:r>
        <w:rPr>
          <w:color w:val="auto"/>
        </w:rPr>
        <w:t>经济</w:t>
      </w:r>
      <w:r>
        <w:rPr>
          <w:rFonts w:hint="eastAsia"/>
          <w:color w:val="auto"/>
        </w:rPr>
        <w:t>发展</w:t>
      </w:r>
      <w:r>
        <w:rPr>
          <w:color w:val="auto"/>
        </w:rPr>
        <w:t>趋势，规上企业</w:t>
      </w:r>
      <w:r>
        <w:rPr>
          <w:rFonts w:hint="eastAsia"/>
          <w:color w:val="auto"/>
        </w:rPr>
        <w:t>工业</w:t>
      </w:r>
      <w:r>
        <w:rPr>
          <w:color w:val="auto"/>
        </w:rPr>
        <w:t>产值规模按年增长</w:t>
      </w:r>
      <w:r>
        <w:rPr>
          <w:rFonts w:hint="eastAsia"/>
          <w:color w:val="auto"/>
        </w:rPr>
        <w:t>率8</w:t>
      </w:r>
      <w:r>
        <w:rPr>
          <w:color w:val="auto"/>
        </w:rPr>
        <w:t>%测算。则</w:t>
      </w:r>
      <w:r>
        <w:rPr>
          <w:rFonts w:hint="eastAsia"/>
          <w:color w:val="auto"/>
        </w:rPr>
        <w:t>2020</w:t>
      </w:r>
      <w:r>
        <w:rPr>
          <w:color w:val="auto"/>
        </w:rPr>
        <w:t>~2022</w:t>
      </w:r>
      <w:r>
        <w:rPr>
          <w:rFonts w:hint="eastAsia"/>
          <w:color w:val="auto"/>
        </w:rPr>
        <w:t>年</w:t>
      </w:r>
      <w:r>
        <w:rPr>
          <w:color w:val="auto"/>
        </w:rPr>
        <w:t>，咸宁高新区规上企业工业产值为：</w:t>
      </w:r>
    </w:p>
    <w:p>
      <w:pPr>
        <w:pStyle w:val="9"/>
        <w:keepNext/>
        <w:rPr>
          <w:color w:val="auto"/>
        </w:rPr>
      </w:pPr>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2020~2022高新区规上企业工业产值预测</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808"/>
        <w:gridCol w:w="2806"/>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b/>
                <w:color w:val="auto"/>
                <w:sz w:val="24"/>
              </w:rPr>
            </w:pPr>
            <w:r>
              <w:rPr>
                <w:rFonts w:hint="eastAsia"/>
                <w:b/>
                <w:color w:val="auto"/>
                <w:sz w:val="24"/>
              </w:rPr>
              <w:t>年份</w:t>
            </w:r>
          </w:p>
        </w:tc>
        <w:tc>
          <w:tcPr>
            <w:tcW w:w="1666" w:type="pct"/>
            <w:vAlign w:val="center"/>
          </w:tcPr>
          <w:p>
            <w:pPr>
              <w:spacing w:line="240" w:lineRule="auto"/>
              <w:ind w:firstLine="0" w:firstLineChars="0"/>
              <w:jc w:val="center"/>
              <w:rPr>
                <w:b/>
                <w:color w:val="auto"/>
                <w:sz w:val="24"/>
              </w:rPr>
            </w:pPr>
            <w:r>
              <w:rPr>
                <w:rFonts w:hint="eastAsia"/>
                <w:b/>
                <w:color w:val="auto"/>
                <w:sz w:val="24"/>
              </w:rPr>
              <w:t>工业总产值</w:t>
            </w:r>
          </w:p>
          <w:p>
            <w:pPr>
              <w:spacing w:line="240" w:lineRule="auto"/>
              <w:ind w:firstLine="0" w:firstLineChars="0"/>
              <w:jc w:val="center"/>
              <w:rPr>
                <w:b/>
                <w:color w:val="auto"/>
                <w:sz w:val="24"/>
              </w:rPr>
            </w:pPr>
            <w:r>
              <w:rPr>
                <w:rFonts w:hint="eastAsia"/>
                <w:b/>
                <w:color w:val="auto"/>
                <w:sz w:val="24"/>
              </w:rPr>
              <w:t>（万元）</w:t>
            </w:r>
          </w:p>
        </w:tc>
        <w:tc>
          <w:tcPr>
            <w:tcW w:w="1666" w:type="pct"/>
            <w:vAlign w:val="center"/>
          </w:tcPr>
          <w:p>
            <w:pPr>
              <w:spacing w:line="240" w:lineRule="auto"/>
              <w:ind w:firstLine="0" w:firstLineChars="0"/>
              <w:jc w:val="center"/>
              <w:rPr>
                <w:b/>
                <w:color w:val="auto"/>
                <w:sz w:val="24"/>
              </w:rPr>
            </w:pPr>
            <w:r>
              <w:rPr>
                <w:rFonts w:hint="eastAsia"/>
                <w:b/>
                <w:color w:val="auto"/>
                <w:sz w:val="24"/>
              </w:rPr>
              <w:t>增长率</w:t>
            </w:r>
          </w:p>
          <w:p>
            <w:pPr>
              <w:spacing w:line="240" w:lineRule="auto"/>
              <w:ind w:firstLine="0" w:firstLineChars="0"/>
              <w:jc w:val="center"/>
              <w:rPr>
                <w:b/>
                <w:color w:val="auto"/>
                <w:sz w:val="24"/>
              </w:rPr>
            </w:pPr>
            <w:r>
              <w:rPr>
                <w:rFonts w:hint="eastAsia"/>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2020</w:t>
            </w:r>
          </w:p>
        </w:tc>
        <w:tc>
          <w:tcPr>
            <w:tcW w:w="1666" w:type="pct"/>
            <w:vAlign w:val="center"/>
          </w:tcPr>
          <w:p>
            <w:pPr>
              <w:spacing w:line="240" w:lineRule="auto"/>
              <w:ind w:firstLine="0" w:firstLineChars="0"/>
              <w:jc w:val="center"/>
              <w:rPr>
                <w:color w:val="auto"/>
                <w:sz w:val="24"/>
              </w:rPr>
            </w:pPr>
            <w:r>
              <w:rPr>
                <w:color w:val="auto"/>
                <w:sz w:val="24"/>
              </w:rPr>
              <w:t>1928875</w:t>
            </w:r>
          </w:p>
        </w:tc>
        <w:tc>
          <w:tcPr>
            <w:tcW w:w="1666" w:type="pct"/>
            <w:vAlign w:val="center"/>
          </w:tcPr>
          <w:p>
            <w:pPr>
              <w:spacing w:line="240" w:lineRule="auto"/>
              <w:ind w:firstLine="0" w:firstLineChars="0"/>
              <w:jc w:val="center"/>
              <w:rPr>
                <w:color w:val="auto"/>
                <w:sz w:val="24"/>
              </w:rPr>
            </w:pPr>
            <w:r>
              <w:rPr>
                <w:rFonts w:hint="eastAsia"/>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2021</w:t>
            </w:r>
          </w:p>
        </w:tc>
        <w:tc>
          <w:tcPr>
            <w:tcW w:w="1666" w:type="pct"/>
            <w:vAlign w:val="center"/>
          </w:tcPr>
          <w:p>
            <w:pPr>
              <w:spacing w:line="240" w:lineRule="auto"/>
              <w:ind w:firstLine="0" w:firstLineChars="0"/>
              <w:jc w:val="center"/>
              <w:rPr>
                <w:color w:val="auto"/>
                <w:sz w:val="24"/>
              </w:rPr>
            </w:pPr>
            <w:r>
              <w:rPr>
                <w:color w:val="auto"/>
                <w:sz w:val="24"/>
              </w:rPr>
              <w:t>2083185</w:t>
            </w:r>
          </w:p>
        </w:tc>
        <w:tc>
          <w:tcPr>
            <w:tcW w:w="1666" w:type="pct"/>
            <w:vAlign w:val="center"/>
          </w:tcPr>
          <w:p>
            <w:pPr>
              <w:spacing w:line="240" w:lineRule="auto"/>
              <w:ind w:firstLine="0" w:firstLineChars="0"/>
              <w:jc w:val="center"/>
              <w:rPr>
                <w:color w:val="auto"/>
                <w:sz w:val="24"/>
              </w:rPr>
            </w:pPr>
            <w:r>
              <w:rPr>
                <w:rFonts w:hint="eastAsia"/>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2022</w:t>
            </w:r>
          </w:p>
        </w:tc>
        <w:tc>
          <w:tcPr>
            <w:tcW w:w="1666" w:type="pct"/>
            <w:vAlign w:val="center"/>
          </w:tcPr>
          <w:p>
            <w:pPr>
              <w:spacing w:line="240" w:lineRule="auto"/>
              <w:ind w:firstLine="0" w:firstLineChars="0"/>
              <w:jc w:val="center"/>
              <w:rPr>
                <w:color w:val="auto"/>
                <w:sz w:val="24"/>
              </w:rPr>
            </w:pPr>
            <w:r>
              <w:rPr>
                <w:color w:val="auto"/>
                <w:sz w:val="24"/>
              </w:rPr>
              <w:t>2249840</w:t>
            </w:r>
          </w:p>
        </w:tc>
        <w:tc>
          <w:tcPr>
            <w:tcW w:w="1666" w:type="pct"/>
            <w:vAlign w:val="center"/>
          </w:tcPr>
          <w:p>
            <w:pPr>
              <w:spacing w:line="240" w:lineRule="auto"/>
              <w:ind w:firstLine="0" w:firstLineChars="0"/>
              <w:jc w:val="center"/>
              <w:rPr>
                <w:color w:val="auto"/>
                <w:sz w:val="24"/>
              </w:rPr>
            </w:pPr>
            <w:r>
              <w:rPr>
                <w:rFonts w:hint="eastAsia"/>
                <w:color w:val="auto"/>
                <w:sz w:val="24"/>
              </w:rPr>
              <w:t>8</w:t>
            </w:r>
          </w:p>
        </w:tc>
      </w:tr>
    </w:tbl>
    <w:p>
      <w:pPr>
        <w:spacing w:line="240" w:lineRule="auto"/>
        <w:ind w:firstLine="0" w:firstLineChars="0"/>
        <w:rPr>
          <w:color w:val="auto"/>
          <w:sz w:val="21"/>
        </w:rPr>
      </w:pPr>
    </w:p>
    <w:p>
      <w:pPr>
        <w:ind w:firstLine="560"/>
        <w:rPr>
          <w:color w:val="auto"/>
        </w:rPr>
      </w:pPr>
      <w:r>
        <w:rPr>
          <w:rFonts w:hint="eastAsia"/>
          <w:color w:val="auto"/>
        </w:rPr>
        <w:t>参考咸宁</w:t>
      </w:r>
      <w:r>
        <w:rPr>
          <w:color w:val="auto"/>
        </w:rPr>
        <w:t>市</w:t>
      </w:r>
      <w:r>
        <w:rPr>
          <w:rFonts w:asciiTheme="minorEastAsia" w:hAnsiTheme="minorEastAsia" w:eastAsiaTheme="minorEastAsia"/>
          <w:color w:val="auto"/>
        </w:rPr>
        <w:t>“</w:t>
      </w:r>
      <w:r>
        <w:rPr>
          <w:rFonts w:hint="eastAsia" w:asciiTheme="minorEastAsia" w:hAnsiTheme="minorEastAsia" w:eastAsiaTheme="minorEastAsia"/>
          <w:color w:val="auto"/>
        </w:rPr>
        <w:t>十三五</w:t>
      </w:r>
      <w:r>
        <w:rPr>
          <w:rFonts w:asciiTheme="minorEastAsia" w:hAnsiTheme="minorEastAsia" w:eastAsiaTheme="minorEastAsia"/>
          <w:color w:val="auto"/>
        </w:rPr>
        <w:t>”</w:t>
      </w:r>
      <w:r>
        <w:rPr>
          <w:rFonts w:hint="eastAsia"/>
          <w:color w:val="auto"/>
        </w:rPr>
        <w:t>期间单位生产总值能耗下降率13%，</w:t>
      </w:r>
      <w:r>
        <w:rPr>
          <w:color w:val="auto"/>
        </w:rPr>
        <w:t>年下降率约为</w:t>
      </w:r>
      <w:r>
        <w:rPr>
          <w:rFonts w:hint="eastAsia"/>
          <w:color w:val="auto"/>
        </w:rPr>
        <w:t>2.5</w:t>
      </w:r>
      <w:r>
        <w:rPr>
          <w:color w:val="auto"/>
        </w:rPr>
        <w:t>%</w:t>
      </w:r>
      <w:r>
        <w:rPr>
          <w:rFonts w:hint="eastAsia"/>
          <w:color w:val="auto"/>
        </w:rPr>
        <w:t>。按咸宁高新区2020~2022年单位</w:t>
      </w:r>
      <w:r>
        <w:rPr>
          <w:color w:val="auto"/>
        </w:rPr>
        <w:t>工业产值能耗年均下降</w:t>
      </w:r>
      <w:r>
        <w:rPr>
          <w:rFonts w:hint="eastAsia"/>
          <w:color w:val="auto"/>
        </w:rPr>
        <w:t>2</w:t>
      </w:r>
      <w:r>
        <w:rPr>
          <w:color w:val="auto"/>
        </w:rPr>
        <w:t>%</w:t>
      </w:r>
      <w:r>
        <w:rPr>
          <w:rFonts w:hint="eastAsia"/>
          <w:color w:val="auto"/>
        </w:rPr>
        <w:t>测算</w:t>
      </w:r>
      <w:r>
        <w:rPr>
          <w:color w:val="auto"/>
        </w:rPr>
        <w:t>，则</w:t>
      </w:r>
      <w:r>
        <w:rPr>
          <w:rFonts w:hint="eastAsia"/>
          <w:color w:val="auto"/>
        </w:rPr>
        <w:t>2020~2022年，咸宁高新区规上企业单位工业</w:t>
      </w:r>
      <w:r>
        <w:rPr>
          <w:color w:val="auto"/>
        </w:rPr>
        <w:t>产值能耗</w:t>
      </w:r>
      <w:r>
        <w:rPr>
          <w:rFonts w:hint="eastAsia"/>
          <w:color w:val="auto"/>
        </w:rPr>
        <w:t>目标</w:t>
      </w:r>
      <w:r>
        <w:rPr>
          <w:color w:val="auto"/>
        </w:rPr>
        <w:t>为：</w:t>
      </w:r>
    </w:p>
    <w:p>
      <w:pPr>
        <w:pStyle w:val="9"/>
        <w:keepNext/>
        <w:rPr>
          <w:color w:val="auto"/>
        </w:rPr>
      </w:pPr>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2020~2022高新区规上企业单位工业产值能耗（当量值）目标</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808"/>
        <w:gridCol w:w="2806"/>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b/>
                <w:color w:val="auto"/>
                <w:sz w:val="24"/>
              </w:rPr>
            </w:pPr>
            <w:r>
              <w:rPr>
                <w:rFonts w:hint="eastAsia"/>
                <w:b/>
                <w:color w:val="auto"/>
                <w:sz w:val="24"/>
              </w:rPr>
              <w:t>年份</w:t>
            </w:r>
          </w:p>
        </w:tc>
        <w:tc>
          <w:tcPr>
            <w:tcW w:w="1666" w:type="pct"/>
            <w:vAlign w:val="center"/>
          </w:tcPr>
          <w:p>
            <w:pPr>
              <w:spacing w:line="240" w:lineRule="auto"/>
              <w:ind w:firstLine="0" w:firstLineChars="0"/>
              <w:jc w:val="center"/>
              <w:rPr>
                <w:b/>
                <w:color w:val="auto"/>
                <w:sz w:val="24"/>
              </w:rPr>
            </w:pPr>
            <w:r>
              <w:rPr>
                <w:rFonts w:hint="eastAsia"/>
                <w:b/>
                <w:color w:val="auto"/>
                <w:sz w:val="24"/>
              </w:rPr>
              <w:t>单位工业产值能耗</w:t>
            </w:r>
          </w:p>
          <w:p>
            <w:pPr>
              <w:spacing w:line="240" w:lineRule="auto"/>
              <w:ind w:firstLine="0" w:firstLineChars="0"/>
              <w:jc w:val="center"/>
              <w:rPr>
                <w:b/>
                <w:color w:val="auto"/>
                <w:sz w:val="24"/>
              </w:rPr>
            </w:pPr>
            <w:r>
              <w:rPr>
                <w:rFonts w:hint="eastAsia"/>
                <w:b/>
                <w:color w:val="auto"/>
                <w:sz w:val="24"/>
              </w:rPr>
              <w:t>（tce/万元）</w:t>
            </w:r>
          </w:p>
        </w:tc>
        <w:tc>
          <w:tcPr>
            <w:tcW w:w="1666" w:type="pct"/>
            <w:vAlign w:val="center"/>
          </w:tcPr>
          <w:p>
            <w:pPr>
              <w:spacing w:line="240" w:lineRule="auto"/>
              <w:ind w:firstLine="0" w:firstLineChars="0"/>
              <w:jc w:val="center"/>
              <w:rPr>
                <w:b/>
                <w:color w:val="auto"/>
                <w:sz w:val="24"/>
              </w:rPr>
            </w:pPr>
            <w:r>
              <w:rPr>
                <w:rFonts w:hint="eastAsia"/>
                <w:b/>
                <w:color w:val="auto"/>
                <w:sz w:val="24"/>
              </w:rPr>
              <w:t>下降率</w:t>
            </w:r>
          </w:p>
          <w:p>
            <w:pPr>
              <w:spacing w:line="240" w:lineRule="auto"/>
              <w:ind w:firstLine="0" w:firstLineChars="0"/>
              <w:jc w:val="center"/>
              <w:rPr>
                <w:b/>
                <w:color w:val="auto"/>
                <w:sz w:val="24"/>
              </w:rPr>
            </w:pPr>
            <w:r>
              <w:rPr>
                <w:rFonts w:hint="eastAsia"/>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2020</w:t>
            </w:r>
          </w:p>
        </w:tc>
        <w:tc>
          <w:tcPr>
            <w:tcW w:w="1666" w:type="pct"/>
            <w:vAlign w:val="center"/>
          </w:tcPr>
          <w:p>
            <w:pPr>
              <w:spacing w:line="240" w:lineRule="auto"/>
              <w:ind w:firstLine="0" w:firstLineChars="0"/>
              <w:jc w:val="center"/>
              <w:rPr>
                <w:color w:val="auto"/>
                <w:sz w:val="24"/>
              </w:rPr>
            </w:pPr>
            <w:r>
              <w:rPr>
                <w:color w:val="auto"/>
                <w:sz w:val="24"/>
              </w:rPr>
              <w:t>0.1213</w:t>
            </w:r>
          </w:p>
        </w:tc>
        <w:tc>
          <w:tcPr>
            <w:tcW w:w="1666" w:type="pct"/>
            <w:vAlign w:val="center"/>
          </w:tcPr>
          <w:p>
            <w:pPr>
              <w:spacing w:line="240" w:lineRule="auto"/>
              <w:ind w:firstLine="0" w:firstLineChars="0"/>
              <w:jc w:val="center"/>
              <w:rPr>
                <w:color w:val="auto"/>
                <w:sz w:val="24"/>
              </w:rPr>
            </w:pPr>
            <w:r>
              <w:rPr>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2021</w:t>
            </w:r>
          </w:p>
        </w:tc>
        <w:tc>
          <w:tcPr>
            <w:tcW w:w="1666" w:type="pct"/>
            <w:vAlign w:val="center"/>
          </w:tcPr>
          <w:p>
            <w:pPr>
              <w:spacing w:line="240" w:lineRule="auto"/>
              <w:ind w:firstLine="0" w:firstLineChars="0"/>
              <w:jc w:val="center"/>
              <w:rPr>
                <w:color w:val="auto"/>
                <w:sz w:val="24"/>
              </w:rPr>
            </w:pPr>
            <w:r>
              <w:rPr>
                <w:color w:val="auto"/>
                <w:sz w:val="24"/>
              </w:rPr>
              <w:t>0.1188</w:t>
            </w:r>
          </w:p>
        </w:tc>
        <w:tc>
          <w:tcPr>
            <w:tcW w:w="1666" w:type="pct"/>
            <w:vAlign w:val="center"/>
          </w:tcPr>
          <w:p>
            <w:pPr>
              <w:spacing w:line="240" w:lineRule="auto"/>
              <w:ind w:firstLine="0" w:firstLineChars="0"/>
              <w:jc w:val="center"/>
              <w:rPr>
                <w:color w:val="auto"/>
                <w:sz w:val="24"/>
              </w:rPr>
            </w:pPr>
            <w:r>
              <w:rPr>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2022</w:t>
            </w:r>
          </w:p>
        </w:tc>
        <w:tc>
          <w:tcPr>
            <w:tcW w:w="1666" w:type="pct"/>
            <w:vAlign w:val="center"/>
          </w:tcPr>
          <w:p>
            <w:pPr>
              <w:spacing w:line="240" w:lineRule="auto"/>
              <w:ind w:firstLine="0" w:firstLineChars="0"/>
              <w:jc w:val="center"/>
              <w:rPr>
                <w:color w:val="auto"/>
                <w:sz w:val="24"/>
              </w:rPr>
            </w:pPr>
            <w:r>
              <w:rPr>
                <w:color w:val="auto"/>
                <w:sz w:val="24"/>
              </w:rPr>
              <w:t>0.1165</w:t>
            </w:r>
          </w:p>
        </w:tc>
        <w:tc>
          <w:tcPr>
            <w:tcW w:w="1666" w:type="pct"/>
            <w:vAlign w:val="center"/>
          </w:tcPr>
          <w:p>
            <w:pPr>
              <w:spacing w:line="240" w:lineRule="auto"/>
              <w:ind w:firstLine="0" w:firstLineChars="0"/>
              <w:jc w:val="center"/>
              <w:rPr>
                <w:color w:val="auto"/>
                <w:sz w:val="24"/>
              </w:rPr>
            </w:pPr>
            <w:r>
              <w:rPr>
                <w:color w:val="auto"/>
                <w:sz w:val="24"/>
              </w:rPr>
              <w:t>2</w:t>
            </w:r>
          </w:p>
        </w:tc>
      </w:tr>
    </w:tbl>
    <w:p>
      <w:pPr>
        <w:spacing w:line="240" w:lineRule="auto"/>
        <w:ind w:firstLine="0" w:firstLineChars="0"/>
        <w:rPr>
          <w:color w:val="auto"/>
          <w:sz w:val="21"/>
        </w:rPr>
      </w:pPr>
    </w:p>
    <w:p>
      <w:pPr>
        <w:ind w:firstLine="560"/>
        <w:rPr>
          <w:color w:val="auto"/>
        </w:rPr>
      </w:pPr>
      <w:r>
        <w:rPr>
          <w:rFonts w:hint="eastAsia"/>
          <w:color w:val="auto"/>
        </w:rPr>
        <w:t>由此</w:t>
      </w:r>
      <w:r>
        <w:rPr>
          <w:color w:val="auto"/>
        </w:rPr>
        <w:t>推算，</w:t>
      </w:r>
      <w:r>
        <w:rPr>
          <w:rFonts w:hint="eastAsia"/>
          <w:color w:val="auto"/>
        </w:rPr>
        <w:t>2020~2022年咸宁高新区工业企业合计能源消费增</w:t>
      </w:r>
      <w:r>
        <w:rPr>
          <w:color w:val="auto"/>
        </w:rPr>
        <w:t>量</w:t>
      </w:r>
      <w:r>
        <w:rPr>
          <w:rFonts w:hint="eastAsia"/>
          <w:color w:val="auto"/>
        </w:rPr>
        <w:t>（当量值）控制目标</w:t>
      </w:r>
      <w:r>
        <w:rPr>
          <w:color w:val="auto"/>
        </w:rPr>
        <w:t>为41020.92tce</w:t>
      </w:r>
      <w:r>
        <w:rPr>
          <w:rFonts w:hint="eastAsia"/>
          <w:color w:val="auto"/>
        </w:rPr>
        <w:t>。各年</w:t>
      </w:r>
      <w:r>
        <w:rPr>
          <w:color w:val="auto"/>
        </w:rPr>
        <w:t>能源</w:t>
      </w:r>
      <w:r>
        <w:rPr>
          <w:rFonts w:hint="eastAsia"/>
          <w:color w:val="auto"/>
        </w:rPr>
        <w:t>消费</w:t>
      </w:r>
      <w:r>
        <w:rPr>
          <w:color w:val="auto"/>
        </w:rPr>
        <w:t>量及增量目标具体如下表所示：</w:t>
      </w:r>
    </w:p>
    <w:p>
      <w:pPr>
        <w:pStyle w:val="9"/>
        <w:keepNext/>
        <w:rPr>
          <w:color w:val="auto"/>
        </w:rPr>
      </w:pPr>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w:t>
      </w:r>
      <w:r>
        <w:rPr>
          <w:rFonts w:hint="eastAsia"/>
          <w:color w:val="auto"/>
        </w:rPr>
        <w:t>2020~2022高新区规上企业能源消费</w:t>
      </w:r>
      <w:r>
        <w:rPr>
          <w:color w:val="auto"/>
        </w:rPr>
        <w:t>量</w:t>
      </w:r>
      <w:r>
        <w:rPr>
          <w:rFonts w:hint="eastAsia"/>
          <w:color w:val="auto"/>
        </w:rPr>
        <w:t>（当量值）目标</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808"/>
        <w:gridCol w:w="2806"/>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b/>
                <w:color w:val="auto"/>
                <w:sz w:val="24"/>
              </w:rPr>
            </w:pPr>
            <w:r>
              <w:rPr>
                <w:rFonts w:hint="eastAsia"/>
                <w:b/>
                <w:color w:val="auto"/>
                <w:sz w:val="24"/>
              </w:rPr>
              <w:t>年份</w:t>
            </w:r>
          </w:p>
        </w:tc>
        <w:tc>
          <w:tcPr>
            <w:tcW w:w="1666" w:type="pct"/>
            <w:vAlign w:val="center"/>
          </w:tcPr>
          <w:p>
            <w:pPr>
              <w:spacing w:line="240" w:lineRule="auto"/>
              <w:ind w:firstLine="0" w:firstLineChars="0"/>
              <w:jc w:val="center"/>
              <w:rPr>
                <w:b/>
                <w:color w:val="auto"/>
                <w:sz w:val="24"/>
              </w:rPr>
            </w:pPr>
            <w:r>
              <w:rPr>
                <w:rFonts w:hint="eastAsia"/>
                <w:b/>
                <w:color w:val="auto"/>
                <w:sz w:val="24"/>
              </w:rPr>
              <w:t>年</w:t>
            </w:r>
            <w:r>
              <w:rPr>
                <w:b/>
                <w:color w:val="auto"/>
                <w:sz w:val="24"/>
              </w:rPr>
              <w:t>能源消耗量</w:t>
            </w:r>
          </w:p>
          <w:p>
            <w:pPr>
              <w:spacing w:line="240" w:lineRule="auto"/>
              <w:ind w:firstLine="0" w:firstLineChars="0"/>
              <w:jc w:val="center"/>
              <w:rPr>
                <w:b/>
                <w:color w:val="auto"/>
                <w:sz w:val="24"/>
              </w:rPr>
            </w:pPr>
            <w:r>
              <w:rPr>
                <w:rFonts w:hint="eastAsia"/>
                <w:b/>
                <w:color w:val="auto"/>
                <w:sz w:val="24"/>
              </w:rPr>
              <w:t>（tce）</w:t>
            </w:r>
          </w:p>
        </w:tc>
        <w:tc>
          <w:tcPr>
            <w:tcW w:w="1666" w:type="pct"/>
            <w:vAlign w:val="center"/>
          </w:tcPr>
          <w:p>
            <w:pPr>
              <w:spacing w:line="240" w:lineRule="auto"/>
              <w:ind w:firstLine="0" w:firstLineChars="0"/>
              <w:jc w:val="center"/>
              <w:rPr>
                <w:b/>
                <w:color w:val="auto"/>
                <w:sz w:val="24"/>
              </w:rPr>
            </w:pPr>
            <w:r>
              <w:rPr>
                <w:rFonts w:hint="eastAsia"/>
                <w:b/>
                <w:color w:val="auto"/>
                <w:sz w:val="24"/>
              </w:rPr>
              <w:t>年增量</w:t>
            </w:r>
          </w:p>
          <w:p>
            <w:pPr>
              <w:spacing w:line="240" w:lineRule="auto"/>
              <w:ind w:firstLine="0" w:firstLineChars="0"/>
              <w:jc w:val="center"/>
              <w:rPr>
                <w:b/>
                <w:color w:val="auto"/>
                <w:sz w:val="24"/>
              </w:rPr>
            </w:pPr>
            <w:r>
              <w:rPr>
                <w:rFonts w:hint="eastAsia"/>
                <w:b/>
                <w:color w:val="auto"/>
                <w:sz w:val="24"/>
              </w:rPr>
              <w:t>（tce）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2020</w:t>
            </w:r>
          </w:p>
        </w:tc>
        <w:tc>
          <w:tcPr>
            <w:tcW w:w="1666" w:type="pct"/>
            <w:vAlign w:val="center"/>
          </w:tcPr>
          <w:p>
            <w:pPr>
              <w:spacing w:line="240" w:lineRule="auto"/>
              <w:ind w:firstLine="0" w:firstLineChars="0"/>
              <w:jc w:val="center"/>
              <w:rPr>
                <w:color w:val="auto"/>
                <w:sz w:val="24"/>
              </w:rPr>
            </w:pPr>
            <w:r>
              <w:rPr>
                <w:color w:val="auto"/>
                <w:sz w:val="24"/>
              </w:rPr>
              <w:t>233886.46</w:t>
            </w:r>
          </w:p>
        </w:tc>
        <w:tc>
          <w:tcPr>
            <w:tcW w:w="1666" w:type="pct"/>
            <w:vAlign w:val="center"/>
          </w:tcPr>
          <w:p>
            <w:pPr>
              <w:spacing w:line="240" w:lineRule="auto"/>
              <w:ind w:firstLine="0" w:firstLineChars="0"/>
              <w:jc w:val="center"/>
              <w:rPr>
                <w:color w:val="auto"/>
                <w:sz w:val="24"/>
              </w:rPr>
            </w:pPr>
            <w:r>
              <w:rPr>
                <w:color w:val="auto"/>
                <w:sz w:val="24"/>
              </w:rPr>
              <w:t>12905.30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2021</w:t>
            </w:r>
          </w:p>
        </w:tc>
        <w:tc>
          <w:tcPr>
            <w:tcW w:w="1666" w:type="pct"/>
            <w:vAlign w:val="center"/>
          </w:tcPr>
          <w:p>
            <w:pPr>
              <w:spacing w:line="240" w:lineRule="auto"/>
              <w:ind w:firstLine="0" w:firstLineChars="0"/>
              <w:jc w:val="center"/>
              <w:rPr>
                <w:color w:val="auto"/>
                <w:sz w:val="24"/>
              </w:rPr>
            </w:pPr>
            <w:r>
              <w:rPr>
                <w:color w:val="auto"/>
                <w:sz w:val="24"/>
              </w:rPr>
              <w:t>247545.43</w:t>
            </w:r>
          </w:p>
        </w:tc>
        <w:tc>
          <w:tcPr>
            <w:tcW w:w="1666" w:type="pct"/>
            <w:vAlign w:val="center"/>
          </w:tcPr>
          <w:p>
            <w:pPr>
              <w:spacing w:line="240" w:lineRule="auto"/>
              <w:ind w:firstLine="0" w:firstLineChars="0"/>
              <w:jc w:val="center"/>
              <w:rPr>
                <w:color w:val="auto"/>
                <w:sz w:val="24"/>
              </w:rPr>
            </w:pPr>
            <w:r>
              <w:rPr>
                <w:color w:val="auto"/>
                <w:sz w:val="24"/>
              </w:rPr>
              <w:t>13658.97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color w:val="auto"/>
                <w:sz w:val="24"/>
              </w:rPr>
              <w:t>2022</w:t>
            </w:r>
          </w:p>
        </w:tc>
        <w:tc>
          <w:tcPr>
            <w:tcW w:w="1666" w:type="pct"/>
            <w:vAlign w:val="center"/>
          </w:tcPr>
          <w:p>
            <w:pPr>
              <w:spacing w:line="240" w:lineRule="auto"/>
              <w:ind w:firstLine="0" w:firstLineChars="0"/>
              <w:jc w:val="center"/>
              <w:rPr>
                <w:color w:val="auto"/>
                <w:sz w:val="24"/>
              </w:rPr>
            </w:pPr>
            <w:r>
              <w:rPr>
                <w:color w:val="auto"/>
                <w:sz w:val="24"/>
              </w:rPr>
              <w:t>262002.08</w:t>
            </w:r>
          </w:p>
        </w:tc>
        <w:tc>
          <w:tcPr>
            <w:tcW w:w="1666" w:type="pct"/>
            <w:vAlign w:val="center"/>
          </w:tcPr>
          <w:p>
            <w:pPr>
              <w:spacing w:line="240" w:lineRule="auto"/>
              <w:ind w:firstLine="0" w:firstLineChars="0"/>
              <w:jc w:val="center"/>
              <w:rPr>
                <w:color w:val="auto"/>
                <w:sz w:val="24"/>
              </w:rPr>
            </w:pPr>
            <w:r>
              <w:rPr>
                <w:color w:val="auto"/>
                <w:sz w:val="24"/>
              </w:rPr>
              <w:t>14456.65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667" w:type="pct"/>
            <w:vAlign w:val="center"/>
          </w:tcPr>
          <w:p>
            <w:pPr>
              <w:spacing w:line="240" w:lineRule="auto"/>
              <w:ind w:firstLine="0" w:firstLineChars="0"/>
              <w:jc w:val="center"/>
              <w:rPr>
                <w:color w:val="auto"/>
                <w:sz w:val="24"/>
              </w:rPr>
            </w:pPr>
            <w:r>
              <w:rPr>
                <w:rFonts w:hint="eastAsia"/>
                <w:color w:val="auto"/>
                <w:sz w:val="24"/>
              </w:rPr>
              <w:t>合计</w:t>
            </w:r>
          </w:p>
        </w:tc>
        <w:tc>
          <w:tcPr>
            <w:tcW w:w="1666" w:type="pct"/>
            <w:vAlign w:val="center"/>
          </w:tcPr>
          <w:p>
            <w:pPr>
              <w:spacing w:line="240" w:lineRule="auto"/>
              <w:ind w:firstLine="0" w:firstLineChars="0"/>
              <w:jc w:val="center"/>
              <w:rPr>
                <w:color w:val="auto"/>
                <w:sz w:val="24"/>
              </w:rPr>
            </w:pPr>
            <w:r>
              <w:rPr>
                <w:color w:val="auto"/>
                <w:sz w:val="24"/>
              </w:rPr>
              <w:t>743433.97</w:t>
            </w:r>
          </w:p>
        </w:tc>
        <w:tc>
          <w:tcPr>
            <w:tcW w:w="1666" w:type="pct"/>
            <w:vAlign w:val="center"/>
          </w:tcPr>
          <w:p>
            <w:pPr>
              <w:spacing w:line="240" w:lineRule="auto"/>
              <w:ind w:firstLine="0" w:firstLineChars="0"/>
              <w:jc w:val="center"/>
              <w:rPr>
                <w:color w:val="auto"/>
                <w:sz w:val="24"/>
              </w:rPr>
            </w:pPr>
            <w:r>
              <w:rPr>
                <w:color w:val="auto"/>
                <w:sz w:val="24"/>
              </w:rPr>
              <w:t>41020.92</w:t>
            </w:r>
          </w:p>
        </w:tc>
      </w:tr>
    </w:tbl>
    <w:p>
      <w:pPr>
        <w:spacing w:line="240" w:lineRule="auto"/>
        <w:ind w:firstLine="0" w:firstLineChars="0"/>
        <w:rPr>
          <w:color w:val="FF0000"/>
          <w:sz w:val="13"/>
        </w:rPr>
      </w:pPr>
    </w:p>
    <w:p>
      <w:pPr>
        <w:ind w:firstLine="560"/>
        <w:rPr>
          <w:color w:val="FF0000"/>
        </w:rPr>
      </w:pPr>
      <w:r>
        <w:rPr>
          <w:rFonts w:hint="eastAsia"/>
          <w:color w:val="FF0000"/>
        </w:rPr>
        <w:t>根据《省人民政府关于加快推进重大项目建设着力扩大有效投资的若干意见》（鄂政发〔2020〕8号）要求</w:t>
      </w:r>
      <w:r>
        <w:rPr>
          <w:color w:val="FF0000"/>
        </w:rPr>
        <w:t>，</w:t>
      </w:r>
      <w:r>
        <w:rPr>
          <w:rFonts w:hint="eastAsia"/>
          <w:color w:val="FF0000"/>
        </w:rPr>
        <w:t>咸宁高新区内</w:t>
      </w:r>
      <w:r>
        <w:rPr>
          <w:color w:val="FF0000"/>
        </w:rPr>
        <w:t>于</w:t>
      </w:r>
      <w:r>
        <w:rPr>
          <w:rFonts w:hint="eastAsia"/>
          <w:color w:val="FF0000"/>
        </w:rPr>
        <w:t>2020年新建并于“十四五”时期投产的重大项目，按照国家产业布局规划、开工投产计划批准建设，可不受能耗总量指标约束；2020年投产的重大项目所产生的能耗量，待“十三五”规划执行结束后，结合全省能耗强度目标完成情况统筹处理。因此</w:t>
      </w:r>
      <w:r>
        <w:rPr>
          <w:color w:val="FF0000"/>
        </w:rPr>
        <w:t>，</w:t>
      </w:r>
      <w:r>
        <w:rPr>
          <w:rFonts w:hint="eastAsia"/>
          <w:color w:val="FF0000"/>
        </w:rPr>
        <w:t>本</w:t>
      </w:r>
      <w:r>
        <w:rPr>
          <w:color w:val="FF0000"/>
        </w:rPr>
        <w:t>报告</w:t>
      </w:r>
      <w:r>
        <w:rPr>
          <w:rFonts w:hint="eastAsia"/>
          <w:color w:val="FF0000"/>
        </w:rPr>
        <w:t>“</w:t>
      </w:r>
      <w:r>
        <w:rPr>
          <w:color w:val="FF0000"/>
        </w:rPr>
        <w:t>双控</w:t>
      </w:r>
      <w:r>
        <w:rPr>
          <w:rFonts w:hint="eastAsia"/>
          <w:color w:val="FF0000"/>
        </w:rPr>
        <w:t>”指标可</w:t>
      </w:r>
      <w:r>
        <w:rPr>
          <w:color w:val="FF0000"/>
        </w:rPr>
        <w:t>根据</w:t>
      </w:r>
      <w:r>
        <w:rPr>
          <w:rFonts w:hint="eastAsia"/>
          <w:color w:val="FF0000"/>
        </w:rPr>
        <w:t>后期省</w:t>
      </w:r>
      <w:r>
        <w:rPr>
          <w:color w:val="FF0000"/>
        </w:rPr>
        <w:t>、市</w:t>
      </w:r>
      <w:r>
        <w:rPr>
          <w:rFonts w:hint="eastAsia"/>
          <w:color w:val="FF0000"/>
        </w:rPr>
        <w:t>“十三五”期间“双控”目标完成情况及</w:t>
      </w:r>
      <w:r>
        <w:rPr>
          <w:rFonts w:asciiTheme="minorEastAsia" w:hAnsiTheme="minorEastAsia" w:eastAsiaTheme="minorEastAsia"/>
          <w:color w:val="FF0000"/>
        </w:rPr>
        <w:t>“</w:t>
      </w:r>
      <w:r>
        <w:rPr>
          <w:rFonts w:hint="eastAsia" w:asciiTheme="minorEastAsia" w:hAnsiTheme="minorEastAsia" w:eastAsiaTheme="minorEastAsia"/>
          <w:color w:val="FF0000"/>
        </w:rPr>
        <w:t>十四五</w:t>
      </w:r>
      <w:r>
        <w:rPr>
          <w:rFonts w:asciiTheme="minorEastAsia" w:hAnsiTheme="minorEastAsia" w:eastAsiaTheme="minorEastAsia"/>
          <w:color w:val="FF0000"/>
        </w:rPr>
        <w:t>”</w:t>
      </w:r>
      <w:r>
        <w:rPr>
          <w:rFonts w:hint="eastAsia" w:asciiTheme="minorEastAsia" w:hAnsiTheme="minorEastAsia" w:eastAsiaTheme="minorEastAsia"/>
          <w:color w:val="FF0000"/>
        </w:rPr>
        <w:t>节能</w:t>
      </w:r>
      <w:r>
        <w:rPr>
          <w:rFonts w:asciiTheme="minorEastAsia" w:hAnsiTheme="minorEastAsia" w:eastAsiaTheme="minorEastAsia"/>
          <w:color w:val="FF0000"/>
        </w:rPr>
        <w:t>减排</w:t>
      </w:r>
      <w:r>
        <w:rPr>
          <w:rFonts w:hint="eastAsia" w:asciiTheme="minorEastAsia" w:hAnsiTheme="minorEastAsia" w:eastAsiaTheme="minorEastAsia"/>
          <w:color w:val="FF0000"/>
        </w:rPr>
        <w:t>综合工作</w:t>
      </w:r>
      <w:r>
        <w:rPr>
          <w:rFonts w:asciiTheme="minorEastAsia" w:hAnsiTheme="minorEastAsia" w:eastAsiaTheme="minorEastAsia"/>
          <w:color w:val="FF0000"/>
        </w:rPr>
        <w:t>方案</w:t>
      </w:r>
      <w:r>
        <w:rPr>
          <w:rFonts w:hint="eastAsia" w:asciiTheme="minorEastAsia" w:hAnsiTheme="minorEastAsia" w:eastAsiaTheme="minorEastAsia"/>
          <w:color w:val="FF0000"/>
        </w:rPr>
        <w:t>进行</w:t>
      </w:r>
      <w:r>
        <w:rPr>
          <w:rFonts w:asciiTheme="minorEastAsia" w:hAnsiTheme="minorEastAsia" w:eastAsiaTheme="minorEastAsia"/>
          <w:color w:val="FF0000"/>
        </w:rPr>
        <w:t>调整。</w:t>
      </w:r>
    </w:p>
    <w:p>
      <w:pPr>
        <w:ind w:firstLine="560"/>
        <w:rPr>
          <w:color w:val="auto"/>
        </w:rPr>
      </w:pPr>
    </w:p>
    <w:p>
      <w:pPr>
        <w:spacing w:line="240" w:lineRule="auto"/>
        <w:ind w:firstLine="0" w:firstLineChars="0"/>
        <w:rPr>
          <w:color w:val="auto"/>
          <w:sz w:val="21"/>
        </w:rPr>
        <w:sectPr>
          <w:pgSz w:w="11906" w:h="16838"/>
          <w:pgMar w:top="1440" w:right="1800" w:bottom="1440" w:left="1800" w:header="850" w:footer="992" w:gutter="0"/>
          <w:cols w:space="425" w:num="1"/>
          <w:docGrid w:type="lines" w:linePitch="381" w:charSpace="0"/>
        </w:sectPr>
      </w:pPr>
    </w:p>
    <w:p>
      <w:pPr>
        <w:pStyle w:val="2"/>
        <w:rPr>
          <w:color w:val="auto"/>
        </w:rPr>
      </w:pPr>
      <w:bookmarkStart w:id="42" w:name="_Toc40625177"/>
      <w:r>
        <w:rPr>
          <w:rFonts w:hint="eastAsia"/>
          <w:color w:val="auto"/>
        </w:rPr>
        <w:t>区域</w:t>
      </w:r>
      <w:r>
        <w:rPr>
          <w:color w:val="auto"/>
        </w:rPr>
        <w:t>能效指标</w:t>
      </w:r>
      <w:bookmarkEnd w:id="42"/>
    </w:p>
    <w:p>
      <w:pPr>
        <w:ind w:firstLine="560"/>
        <w:rPr>
          <w:color w:val="auto"/>
        </w:rPr>
      </w:pPr>
      <w:r>
        <w:rPr>
          <w:rFonts w:hint="eastAsia"/>
          <w:color w:val="auto"/>
        </w:rPr>
        <w:t>对咸宁</w:t>
      </w:r>
      <w:r>
        <w:rPr>
          <w:color w:val="auto"/>
        </w:rPr>
        <w:t>高新区</w:t>
      </w:r>
      <w:r>
        <w:rPr>
          <w:rFonts w:hint="eastAsia"/>
          <w:color w:val="auto"/>
        </w:rPr>
        <w:t>区域内</w:t>
      </w:r>
      <w:r>
        <w:rPr>
          <w:color w:val="auto"/>
        </w:rPr>
        <w:t>76</w:t>
      </w:r>
      <w:r>
        <w:rPr>
          <w:rFonts w:hint="eastAsia"/>
          <w:color w:val="auto"/>
        </w:rPr>
        <w:t>个行业、</w:t>
      </w:r>
      <w:r>
        <w:rPr>
          <w:color w:val="auto"/>
        </w:rPr>
        <w:t>101</w:t>
      </w:r>
      <w:r>
        <w:rPr>
          <w:rFonts w:hint="eastAsia"/>
          <w:color w:val="auto"/>
        </w:rPr>
        <w:t>家规上企业开展的现场调研工作，摸清了区域内不同行业在现有企业工艺技术水平下，单位工业产值能耗、单位产品能耗等能效情况。对照国家、湖北省已颁布实施的能效标准，对区域内各行业单位产品综合能效现状进行对标，并对各行业经济能效指标进行评价。</w:t>
      </w:r>
    </w:p>
    <w:p>
      <w:pPr>
        <w:pStyle w:val="3"/>
        <w:ind w:firstLine="643"/>
        <w:rPr>
          <w:color w:val="auto"/>
        </w:rPr>
      </w:pPr>
      <w:bookmarkStart w:id="43" w:name="_Toc40625178"/>
      <w:r>
        <w:rPr>
          <w:rFonts w:hint="eastAsia"/>
          <w:color w:val="auto"/>
        </w:rPr>
        <w:t>5.1区域主要行业经济能效指标评价</w:t>
      </w:r>
      <w:bookmarkEnd w:id="43"/>
    </w:p>
    <w:p>
      <w:pPr>
        <w:ind w:firstLine="560"/>
        <w:rPr>
          <w:color w:val="auto"/>
        </w:rPr>
      </w:pPr>
      <w:r>
        <w:rPr>
          <w:rFonts w:hint="eastAsia"/>
          <w:color w:val="auto"/>
        </w:rPr>
        <w:t>通过对区域规上用能企业的数据收集和现场调研，统计企业</w:t>
      </w:r>
      <w:r>
        <w:rPr>
          <w:color w:val="auto"/>
        </w:rPr>
        <w:t>、行业</w:t>
      </w:r>
      <w:r>
        <w:rPr>
          <w:rFonts w:hint="eastAsia"/>
          <w:color w:val="auto"/>
        </w:rPr>
        <w:t>耗能水平，并将咸宁高新区主要用能行业201</w:t>
      </w:r>
      <w:r>
        <w:rPr>
          <w:color w:val="auto"/>
        </w:rPr>
        <w:t>9</w:t>
      </w:r>
      <w:r>
        <w:rPr>
          <w:rFonts w:hint="eastAsia"/>
          <w:color w:val="auto"/>
        </w:rPr>
        <w:t>年的经济能效指标与先进地区</w:t>
      </w:r>
      <w:r>
        <w:rPr>
          <w:color w:val="auto"/>
        </w:rPr>
        <w:t>上海市出台的</w:t>
      </w:r>
      <w:r>
        <w:rPr>
          <w:rFonts w:hint="eastAsia"/>
          <w:color w:val="auto"/>
        </w:rPr>
        <w:t>《上海产业能效指南（2018年版）》中的产业能效水平进行对比，如下</w:t>
      </w:r>
      <w:r>
        <w:rPr>
          <w:color w:val="auto"/>
        </w:rPr>
        <w:t>所示：</w:t>
      </w:r>
    </w:p>
    <w:p>
      <w:pPr>
        <w:ind w:firstLine="560"/>
        <w:rPr>
          <w:color w:val="auto"/>
        </w:rPr>
      </w:pPr>
    </w:p>
    <w:p>
      <w:pPr>
        <w:ind w:firstLine="0" w:firstLineChars="0"/>
        <w:rPr>
          <w:color w:val="auto"/>
        </w:rPr>
        <w:sectPr>
          <w:pgSz w:w="11906" w:h="16838"/>
          <w:pgMar w:top="1440" w:right="1800" w:bottom="1440" w:left="1800" w:header="850" w:footer="992" w:gutter="0"/>
          <w:cols w:space="425" w:num="1"/>
          <w:docGrid w:type="lines" w:linePitch="381" w:charSpace="0"/>
        </w:sectPr>
      </w:pP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咸宁</w:t>
      </w:r>
      <w:r>
        <w:rPr>
          <w:color w:val="auto"/>
        </w:rPr>
        <w:t>高新区</w:t>
      </w:r>
      <w:r>
        <w:rPr>
          <w:rFonts w:hint="eastAsia"/>
          <w:color w:val="auto"/>
        </w:rPr>
        <w:t>规上</w:t>
      </w:r>
      <w:r>
        <w:rPr>
          <w:color w:val="auto"/>
        </w:rPr>
        <w:t>工业企业</w:t>
      </w:r>
      <w:r>
        <w:rPr>
          <w:rFonts w:hint="eastAsia"/>
          <w:color w:val="auto"/>
        </w:rPr>
        <w:t>经济能耗指标对标情况（当量值）</w:t>
      </w:r>
    </w:p>
    <w:tbl>
      <w:tblPr>
        <w:tblStyle w:val="23"/>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8"/>
        <w:gridCol w:w="852"/>
        <w:gridCol w:w="3827"/>
        <w:gridCol w:w="992"/>
        <w:gridCol w:w="3543"/>
        <w:gridCol w:w="1185"/>
        <w:gridCol w:w="1188"/>
        <w:gridCol w:w="1311"/>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序号</w:t>
            </w:r>
          </w:p>
        </w:tc>
        <w:tc>
          <w:tcPr>
            <w:tcW w:w="291"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行业</w:t>
            </w:r>
          </w:p>
          <w:p>
            <w:pPr>
              <w:widowControl/>
              <w:spacing w:line="240" w:lineRule="auto"/>
              <w:ind w:firstLine="0" w:firstLineChars="0"/>
              <w:jc w:val="center"/>
              <w:rPr>
                <w:b/>
                <w:color w:val="auto"/>
                <w:kern w:val="0"/>
                <w:sz w:val="24"/>
                <w:szCs w:val="24"/>
              </w:rPr>
            </w:pPr>
            <w:r>
              <w:rPr>
                <w:b/>
                <w:color w:val="auto"/>
                <w:kern w:val="0"/>
                <w:sz w:val="24"/>
                <w:szCs w:val="24"/>
              </w:rPr>
              <w:t>大类</w:t>
            </w:r>
          </w:p>
        </w:tc>
        <w:tc>
          <w:tcPr>
            <w:tcW w:w="1308"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行业名称</w:t>
            </w:r>
          </w:p>
        </w:tc>
        <w:tc>
          <w:tcPr>
            <w:tcW w:w="339"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小类</w:t>
            </w:r>
          </w:p>
          <w:p>
            <w:pPr>
              <w:widowControl/>
              <w:spacing w:line="240" w:lineRule="auto"/>
              <w:ind w:firstLine="0" w:firstLineChars="0"/>
              <w:jc w:val="center"/>
              <w:rPr>
                <w:b/>
                <w:color w:val="auto"/>
                <w:kern w:val="0"/>
                <w:sz w:val="24"/>
                <w:szCs w:val="24"/>
              </w:rPr>
            </w:pPr>
            <w:r>
              <w:rPr>
                <w:b/>
                <w:color w:val="auto"/>
                <w:kern w:val="0"/>
                <w:sz w:val="24"/>
                <w:szCs w:val="24"/>
              </w:rPr>
              <w:t>代码</w:t>
            </w:r>
          </w:p>
        </w:tc>
        <w:tc>
          <w:tcPr>
            <w:tcW w:w="1211"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小类行业名称</w:t>
            </w:r>
          </w:p>
        </w:tc>
        <w:tc>
          <w:tcPr>
            <w:tcW w:w="405"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综合能耗</w:t>
            </w:r>
            <w:r>
              <w:rPr>
                <w:rFonts w:hint="eastAsia"/>
                <w:b/>
                <w:color w:val="auto"/>
                <w:kern w:val="0"/>
                <w:sz w:val="24"/>
                <w:szCs w:val="24"/>
              </w:rPr>
              <w:t>（tce）</w:t>
            </w:r>
          </w:p>
        </w:tc>
        <w:tc>
          <w:tcPr>
            <w:tcW w:w="406"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产值</w:t>
            </w:r>
          </w:p>
          <w:p>
            <w:pPr>
              <w:widowControl/>
              <w:spacing w:line="240" w:lineRule="auto"/>
              <w:ind w:firstLine="0" w:firstLineChars="0"/>
              <w:jc w:val="center"/>
              <w:rPr>
                <w:b/>
                <w:color w:val="auto"/>
                <w:kern w:val="0"/>
                <w:sz w:val="24"/>
                <w:szCs w:val="24"/>
              </w:rPr>
            </w:pPr>
            <w:r>
              <w:rPr>
                <w:rFonts w:hint="eastAsia"/>
                <w:b/>
                <w:color w:val="auto"/>
                <w:kern w:val="0"/>
                <w:sz w:val="24"/>
                <w:szCs w:val="24"/>
              </w:rPr>
              <w:t>（万元）</w:t>
            </w:r>
          </w:p>
        </w:tc>
        <w:tc>
          <w:tcPr>
            <w:tcW w:w="448" w:type="pct"/>
            <w:shd w:val="clear" w:color="auto" w:fill="auto"/>
            <w:noWrap/>
            <w:vAlign w:val="center"/>
          </w:tcPr>
          <w:p>
            <w:pPr>
              <w:widowControl/>
              <w:spacing w:line="240" w:lineRule="auto"/>
              <w:ind w:firstLine="0" w:firstLineChars="0"/>
              <w:jc w:val="center"/>
              <w:rPr>
                <w:b/>
                <w:color w:val="auto"/>
                <w:kern w:val="0"/>
                <w:sz w:val="24"/>
                <w:szCs w:val="24"/>
              </w:rPr>
            </w:pPr>
            <w:r>
              <w:rPr>
                <w:b/>
                <w:color w:val="auto"/>
                <w:kern w:val="0"/>
                <w:sz w:val="24"/>
                <w:szCs w:val="24"/>
              </w:rPr>
              <w:t>产值能耗</w:t>
            </w:r>
          </w:p>
          <w:p>
            <w:pPr>
              <w:widowControl/>
              <w:spacing w:line="240" w:lineRule="auto"/>
              <w:ind w:firstLine="0" w:firstLineChars="0"/>
              <w:jc w:val="center"/>
              <w:rPr>
                <w:b/>
                <w:color w:val="auto"/>
                <w:kern w:val="0"/>
                <w:sz w:val="24"/>
                <w:szCs w:val="24"/>
              </w:rPr>
            </w:pPr>
            <w:r>
              <w:rPr>
                <w:rFonts w:hint="eastAsia"/>
                <w:b/>
                <w:color w:val="auto"/>
                <w:kern w:val="0"/>
                <w:sz w:val="24"/>
                <w:szCs w:val="24"/>
              </w:rPr>
              <w:t>（tce</w:t>
            </w:r>
            <w:r>
              <w:rPr>
                <w:b/>
                <w:color w:val="auto"/>
                <w:kern w:val="0"/>
                <w:sz w:val="24"/>
                <w:szCs w:val="24"/>
              </w:rPr>
              <w:t>/</w:t>
            </w:r>
            <w:r>
              <w:rPr>
                <w:rFonts w:hint="eastAsia"/>
                <w:b/>
                <w:color w:val="auto"/>
                <w:kern w:val="0"/>
                <w:sz w:val="24"/>
                <w:szCs w:val="24"/>
              </w:rPr>
              <w:t>万元）</w:t>
            </w:r>
          </w:p>
        </w:tc>
        <w:tc>
          <w:tcPr>
            <w:tcW w:w="387" w:type="pct"/>
            <w:shd w:val="clear" w:color="auto" w:fill="auto"/>
            <w:noWrap/>
            <w:vAlign w:val="center"/>
          </w:tcPr>
          <w:p>
            <w:pPr>
              <w:widowControl/>
              <w:spacing w:line="240" w:lineRule="auto"/>
              <w:ind w:firstLine="0" w:firstLineChars="0"/>
              <w:jc w:val="center"/>
              <w:rPr>
                <w:b/>
                <w:color w:val="auto"/>
                <w:kern w:val="0"/>
                <w:sz w:val="24"/>
                <w:szCs w:val="24"/>
              </w:rPr>
            </w:pPr>
            <w:r>
              <w:rPr>
                <w:rFonts w:hint="eastAsia"/>
                <w:b/>
                <w:color w:val="auto"/>
                <w:kern w:val="0"/>
                <w:sz w:val="24"/>
                <w:szCs w:val="24"/>
              </w:rPr>
              <w:t>上海产业能效指南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B10</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非金属矿采选业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7.99</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8318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0.0010</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B1011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石灰石、石膏开采</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7.99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8318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0.0010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C13</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农副食品加工业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30.97</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6865</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0.0045</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C1331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食用植物油加工</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30.97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6865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0.0045</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食品制造业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2565.73</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26715.1</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0.0960</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糕点、面包制造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451.52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2840.9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0.1589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C1491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营养食品制造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1016.38</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12746.2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0.0797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C1495</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食品及饲料添加剂制造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20.09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7727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0.0026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C1499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其他未列明食品制造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1077.74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3401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0.3169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酒、饮料和精制茶制造业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16079.91</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467597.2</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0.0344</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C1512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白酒制造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1112.56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36120.45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0.0308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C1521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碳酸饮料制造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4463.56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8270.4</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0.5397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C1522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瓶（罐）装饮用水制造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3222.6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23235.8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0.1387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C1529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茶饮料及其他饮料制造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7281.19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399970.5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0.0182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纺织业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9492.42</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70795.28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0.1341</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棉纺纱加工</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1475.82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14158.2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0.1042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C1713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棉印染精加工</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1235.19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6853.5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0.1802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C1731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麻纤维纺前加工和纺纱</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3497.73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25708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0.1361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C1772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毛巾类制品制造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2975.69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15551.92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0.1913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C1789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其他产业用纺织制成品制造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307.99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8523.657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0.0361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C18</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纺织服装、服饰业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332.04</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20975.8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0.0158</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C1819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其他机织服装制造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332.04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20975.8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0.0158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w:t>
            </w:r>
          </w:p>
        </w:tc>
        <w:tc>
          <w:tcPr>
            <w:tcW w:w="1308" w:type="pct"/>
            <w:shd w:val="clear" w:color="auto" w:fill="auto"/>
            <w:noWrap/>
            <w:vAlign w:val="center"/>
          </w:tcPr>
          <w:p>
            <w:pPr>
              <w:widowControl/>
              <w:spacing w:line="240" w:lineRule="auto"/>
              <w:ind w:firstLine="0" w:firstLineChars="0"/>
              <w:jc w:val="center"/>
              <w:rPr>
                <w:color w:val="auto"/>
                <w:kern w:val="0"/>
                <w:sz w:val="20"/>
                <w:szCs w:val="24"/>
              </w:rPr>
            </w:pPr>
            <w:r>
              <w:rPr>
                <w:color w:val="auto"/>
                <w:kern w:val="0"/>
                <w:sz w:val="20"/>
                <w:szCs w:val="24"/>
              </w:rPr>
              <w:t>木材加工和木、竹、藤、棕、草制品业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351.27</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23213.23</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0.0151</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C2032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木门窗制造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28.86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8023.9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C2033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木楼梯制造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291.27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9074.23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0.0321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C2034</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木地板制造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22.17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3822.7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0.0058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C2041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竹制品制造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8.97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2292.4</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C21</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家具制造业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3494.72</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70925.9</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0.0493</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C2110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木质家具制造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189.3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48299.2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C2130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金属家具制造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3305.42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22626.7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0.1461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9</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C22</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造纸和纸制品业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4204.64</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7712.8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0.5452</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C2221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木竹浆制造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4204.64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7712.8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0.5452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C23</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印刷和记录媒介复制业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3309.11</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31429.73</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0.1053</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C2311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书、报刊印刷</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82.34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6870</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0.0120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C2319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其他文教办公用品制造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3226.77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24559.73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0.1314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11</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化学原料和化学制品制造业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2028.73</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83208.47</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0.0244</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C2614</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有机化学原料制造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59.9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3527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0.0170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C2632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生物化学农药及微生物农药制造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7.87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3551.5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0.0022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C2641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涂料制造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485.63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49377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C2651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初级形态塑料及合成树脂制造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266.23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8965.663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0.0297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C2659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其他合成材料制造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1209.1</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17787.31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0.0680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医药制造业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4284.4</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135829.9</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0.0315</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C2730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中药饮片加工</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C2740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中成药生产</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1680.84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27888.7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0.0603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C2750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兽用药品制造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18.53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637.69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0.0291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C2761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生物药品制造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3.96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6802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0.0006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C2770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卫生材料及医药用品制造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2581.07</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100501.5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0.0257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13</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C29</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橡胶和塑料制品业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23.26</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7315</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0.0032</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C2927</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日用塑料制品制造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23.26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7315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非金属矿物制品业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158069.54</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205812.9</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0.7680</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C3021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水泥制品制造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1254.00</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23960.61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0.0523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C3031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粘土砖瓦及建筑砌块制造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124.02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8737.9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0.0142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C3034</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隔热和隔音材料制造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14.75</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5475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0.0027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C3039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其他建筑材料制造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103.24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22983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0.0045</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C3041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平板玻璃制造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127903.76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74334.5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1.7207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C3049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其他玻璃制造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5551.79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48703.63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0.1140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C3052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光学玻璃制造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23117.98</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21618.3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1.0694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15</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金属制品业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6565.8</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225487.2</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0.0291</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金属结构制造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625.86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25915.26</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0.0242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C3333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金属包装容器及材料制造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5774.96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189516.6</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0.0305</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C3359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其他建筑、安全用金属制品制造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11.31</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3058.2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C3381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金属制厨房用器具制造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5.53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3138.5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0.0018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C3393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锻件及粉末冶金制品制造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148.14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3858.7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0.0384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16</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通用设备制造业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128.82</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13026.3</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0.0099</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C3423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铸造机械制造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C3429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其他金属加工机械制造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53.63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4421.1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0.0121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C3444</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液压动力机械及元件制造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44.24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5125.2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0.0086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C3499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其他未列明通用设备制造业</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30.95</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3480</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0.0089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17</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专用设备制造业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2227.15</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81317.64</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0.0274</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C3513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深海石油钻探设备制造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1371.56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19756.9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0.0694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C3532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农副食品加工专用设备制造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9.02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6887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0.0013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C3589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其他医疗设备及器械制造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505.75</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19861.04</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0.0255</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C3591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环境保护专用设备制造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75.46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25447.2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0.0030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C3599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其他专用设备制造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265.36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9365.5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0.0283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C36</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汽车制造业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2236.61</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62899.28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0.0356</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C3660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汽车车身、挂车制造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262.35</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8034.8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0.0327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C3670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汽车零部件及配件制造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1974.26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54864.48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0.0360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19</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C37</w:t>
            </w:r>
          </w:p>
        </w:tc>
        <w:tc>
          <w:tcPr>
            <w:tcW w:w="1308" w:type="pct"/>
            <w:shd w:val="clear" w:color="auto" w:fill="auto"/>
            <w:noWrap/>
            <w:vAlign w:val="center"/>
          </w:tcPr>
          <w:p>
            <w:pPr>
              <w:widowControl/>
              <w:spacing w:line="240" w:lineRule="auto"/>
              <w:ind w:firstLine="0" w:firstLineChars="0"/>
              <w:jc w:val="center"/>
              <w:rPr>
                <w:color w:val="auto"/>
                <w:kern w:val="0"/>
                <w:sz w:val="20"/>
                <w:szCs w:val="24"/>
              </w:rPr>
            </w:pPr>
            <w:r>
              <w:rPr>
                <w:color w:val="auto"/>
                <w:kern w:val="0"/>
                <w:sz w:val="20"/>
                <w:szCs w:val="24"/>
              </w:rPr>
              <w:t>铁路、船舶、航空航天和其他运输设备制造业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267.46</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8851</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0.0302</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C3713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窄轨机车车辆制造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267.46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8851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0.0302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20</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电气机械和器材制造业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608.78</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70706.78</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0.0086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C3811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发电机及发电机组制造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184.13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18102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0.0102</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C3819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其他电机制造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167.39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12055</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0.0139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C3821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变压器、整流器和电感器制造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24.73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6140.8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0.0040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C3825</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光伏设备及元器件制造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126.32</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11897.7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0.0106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C3831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电线、电缆制造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21.41</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15469.18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0.0014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C3833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光缆制造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50.39</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3238.3</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0.0156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C3843</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铅蓄电池制造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34.41</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3803.8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0.0090</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21</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计算机、通信和其他电子设备制造业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2315.32</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141620.7</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0.0163</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C3961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可穿戴智能设备制造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10.03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6983.421</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0.0014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C3969</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其他智能消费设备制造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328.14</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36176.4</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C3976</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光电子器件制造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62.68</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4581.274</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0.0137</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C3981</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电阻电容电感元件制造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218.36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14497</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0.0151</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C3982</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电子电路制造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827.23</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22584.39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0.0366</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C3990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其他电子设备制造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868.88</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56798.2</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0.0153</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C40</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仪器仪表制造业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32.45</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3263.869</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0.0099</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C4025</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地质勘探和地震专用仪器制造</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32.45</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3263.869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0.0099</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w:t>
            </w:r>
          </w:p>
        </w:tc>
        <w:tc>
          <w:tcPr>
            <w:tcW w:w="29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D46</w:t>
            </w:r>
          </w:p>
        </w:tc>
        <w:tc>
          <w:tcPr>
            <w:tcW w:w="13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水的生产和供应业</w:t>
            </w:r>
          </w:p>
        </w:tc>
        <w:tc>
          <w:tcPr>
            <w:tcW w:w="339" w:type="pct"/>
            <w:shd w:val="clear" w:color="auto" w:fill="auto"/>
            <w:noWrap/>
            <w:vAlign w:val="center"/>
          </w:tcPr>
          <w:p>
            <w:pPr>
              <w:widowControl/>
              <w:spacing w:line="240" w:lineRule="auto"/>
              <w:ind w:firstLine="0" w:firstLineChars="0"/>
              <w:jc w:val="center"/>
              <w:rPr>
                <w:color w:val="auto"/>
                <w:kern w:val="0"/>
                <w:sz w:val="24"/>
                <w:szCs w:val="24"/>
              </w:rPr>
            </w:pPr>
          </w:p>
        </w:tc>
        <w:tc>
          <w:tcPr>
            <w:tcW w:w="121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40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2324.04</w:t>
            </w:r>
          </w:p>
        </w:tc>
        <w:tc>
          <w:tcPr>
            <w:tcW w:w="406"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12108.59</w:t>
            </w:r>
          </w:p>
        </w:tc>
        <w:tc>
          <w:tcPr>
            <w:tcW w:w="44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0.1919</w:t>
            </w:r>
          </w:p>
        </w:tc>
        <w:tc>
          <w:tcPr>
            <w:tcW w:w="387"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b/>
                <w:bCs/>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D4610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自来水生产和供应</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2235.38</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6336.79</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0.3528</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4" w:type="pct"/>
            <w:shd w:val="clear" w:color="auto" w:fill="auto"/>
            <w:noWrap/>
            <w:vAlign w:val="center"/>
          </w:tcPr>
          <w:p>
            <w:pPr>
              <w:widowControl/>
              <w:spacing w:line="240" w:lineRule="auto"/>
              <w:ind w:firstLine="0" w:firstLineChars="0"/>
              <w:jc w:val="center"/>
              <w:rPr>
                <w:color w:val="auto"/>
                <w:kern w:val="0"/>
                <w:sz w:val="24"/>
                <w:szCs w:val="24"/>
              </w:rPr>
            </w:pPr>
          </w:p>
        </w:tc>
        <w:tc>
          <w:tcPr>
            <w:tcW w:w="291"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1308" w:type="pct"/>
            <w:shd w:val="clear" w:color="auto" w:fill="auto"/>
            <w:noWrap/>
            <w:vAlign w:val="center"/>
          </w:tcPr>
          <w:p>
            <w:pPr>
              <w:widowControl/>
              <w:spacing w:line="240" w:lineRule="auto"/>
              <w:ind w:firstLine="0" w:firstLineChars="0"/>
              <w:jc w:val="center"/>
              <w:rPr>
                <w:rFonts w:eastAsia="Times New Roman"/>
                <w:color w:val="auto"/>
                <w:kern w:val="0"/>
                <w:sz w:val="24"/>
                <w:szCs w:val="24"/>
              </w:rPr>
            </w:pPr>
          </w:p>
        </w:tc>
        <w:tc>
          <w:tcPr>
            <w:tcW w:w="339"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D4690</w:t>
            </w:r>
          </w:p>
        </w:tc>
        <w:tc>
          <w:tcPr>
            <w:tcW w:w="1211"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其他水的处理、利用与分配</w:t>
            </w:r>
          </w:p>
        </w:tc>
        <w:tc>
          <w:tcPr>
            <w:tcW w:w="40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88.66</w:t>
            </w:r>
          </w:p>
        </w:tc>
        <w:tc>
          <w:tcPr>
            <w:tcW w:w="406"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5771.8</w:t>
            </w:r>
          </w:p>
        </w:tc>
        <w:tc>
          <w:tcPr>
            <w:tcW w:w="44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0.0154</w:t>
            </w:r>
          </w:p>
        </w:tc>
        <w:tc>
          <w:tcPr>
            <w:tcW w:w="387"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w:t>
            </w:r>
          </w:p>
        </w:tc>
      </w:tr>
    </w:tbl>
    <w:p>
      <w:pPr>
        <w:spacing w:line="240" w:lineRule="auto"/>
        <w:ind w:firstLine="0" w:firstLineChars="0"/>
        <w:jc w:val="left"/>
        <w:rPr>
          <w:color w:val="auto"/>
          <w:sz w:val="21"/>
        </w:rPr>
      </w:pPr>
      <w:r>
        <w:rPr>
          <w:rFonts w:hint="eastAsia"/>
          <w:color w:val="auto"/>
          <w:sz w:val="21"/>
        </w:rPr>
        <w:t>注</w:t>
      </w:r>
      <w:r>
        <w:rPr>
          <w:color w:val="auto"/>
          <w:sz w:val="21"/>
        </w:rPr>
        <w:t>：</w:t>
      </w:r>
      <w:r>
        <w:rPr>
          <w:rFonts w:hint="eastAsia"/>
          <w:color w:val="auto"/>
          <w:sz w:val="21"/>
        </w:rPr>
        <w:t>《上海产业能效指南（2018年版）》产值</w:t>
      </w:r>
      <w:r>
        <w:rPr>
          <w:color w:val="auto"/>
          <w:sz w:val="21"/>
        </w:rPr>
        <w:t>能效</w:t>
      </w:r>
      <w:r>
        <w:rPr>
          <w:rFonts w:hint="eastAsia"/>
          <w:color w:val="auto"/>
          <w:sz w:val="21"/>
        </w:rPr>
        <w:t>数据仅</w:t>
      </w:r>
      <w:r>
        <w:rPr>
          <w:color w:val="auto"/>
          <w:sz w:val="21"/>
        </w:rPr>
        <w:t>细分到</w:t>
      </w:r>
      <w:r>
        <w:rPr>
          <w:rFonts w:hint="eastAsia"/>
          <w:color w:val="auto"/>
          <w:sz w:val="21"/>
        </w:rPr>
        <w:t>行业</w:t>
      </w:r>
      <w:r>
        <w:rPr>
          <w:color w:val="auto"/>
          <w:sz w:val="21"/>
        </w:rPr>
        <w:t>中类</w:t>
      </w:r>
    </w:p>
    <w:p>
      <w:pPr>
        <w:ind w:firstLine="0" w:firstLineChars="0"/>
        <w:rPr>
          <w:color w:val="auto"/>
        </w:rPr>
        <w:sectPr>
          <w:pgSz w:w="16838" w:h="11906" w:orient="landscape"/>
          <w:pgMar w:top="1800" w:right="1440" w:bottom="1800" w:left="1440" w:header="850" w:footer="992" w:gutter="0"/>
          <w:cols w:space="425" w:num="1"/>
          <w:docGrid w:type="lines" w:linePitch="381" w:charSpace="0"/>
        </w:sectPr>
      </w:pPr>
    </w:p>
    <w:p>
      <w:pPr>
        <w:ind w:firstLine="560"/>
        <w:rPr>
          <w:color w:val="auto"/>
        </w:rPr>
      </w:pPr>
      <w:r>
        <w:rPr>
          <w:rFonts w:hint="eastAsia"/>
          <w:color w:val="auto"/>
        </w:rPr>
        <w:t>根据上表，咸宁高新区现有23个行业大类中</w:t>
      </w:r>
      <w:r>
        <w:rPr>
          <w:color w:val="auto"/>
        </w:rPr>
        <w:t>，</w:t>
      </w:r>
      <w:r>
        <w:rPr>
          <w:rFonts w:hint="eastAsia"/>
          <w:color w:val="auto"/>
        </w:rPr>
        <w:t>多数</w:t>
      </w:r>
      <w:r>
        <w:rPr>
          <w:color w:val="auto"/>
        </w:rPr>
        <w:t>产业</w:t>
      </w:r>
      <w:r>
        <w:rPr>
          <w:rFonts w:hint="eastAsia"/>
          <w:color w:val="auto"/>
        </w:rPr>
        <w:t>优于上海市平均水平，区内指标高于《上海产业能效指南（2018年版）》的</w:t>
      </w:r>
      <w:r>
        <w:rPr>
          <w:color w:val="auto"/>
        </w:rPr>
        <w:t>行业</w:t>
      </w:r>
      <w:r>
        <w:rPr>
          <w:rFonts w:hint="eastAsia"/>
          <w:color w:val="auto"/>
        </w:rPr>
        <w:t>大类如</w:t>
      </w:r>
      <w:r>
        <w:rPr>
          <w:color w:val="auto"/>
        </w:rPr>
        <w:t>下表所示</w:t>
      </w:r>
      <w:r>
        <w:rPr>
          <w:rFonts w:hint="eastAsia"/>
          <w:color w:val="auto"/>
        </w:rPr>
        <w:t>：</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咸宁</w:t>
      </w:r>
      <w:r>
        <w:rPr>
          <w:color w:val="auto"/>
        </w:rPr>
        <w:t>高新区</w:t>
      </w:r>
      <w:r>
        <w:rPr>
          <w:rFonts w:hint="eastAsia"/>
          <w:color w:val="auto"/>
        </w:rPr>
        <w:t>行业</w:t>
      </w:r>
      <w:r>
        <w:rPr>
          <w:color w:val="auto"/>
        </w:rPr>
        <w:t>大类</w:t>
      </w:r>
      <w:r>
        <w:rPr>
          <w:rFonts w:hint="eastAsia"/>
          <w:color w:val="auto"/>
        </w:rPr>
        <w:t>能效水平对比（当量值）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9"/>
        <w:gridCol w:w="1187"/>
        <w:gridCol w:w="2900"/>
        <w:gridCol w:w="1276"/>
        <w:gridCol w:w="127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序号</w:t>
            </w:r>
          </w:p>
        </w:tc>
        <w:tc>
          <w:tcPr>
            <w:tcW w:w="710"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行业代码</w:t>
            </w:r>
          </w:p>
        </w:tc>
        <w:tc>
          <w:tcPr>
            <w:tcW w:w="17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行业名称</w:t>
            </w:r>
          </w:p>
        </w:tc>
        <w:tc>
          <w:tcPr>
            <w:tcW w:w="76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开发区</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（tce/万元）</w:t>
            </w:r>
          </w:p>
        </w:tc>
        <w:tc>
          <w:tcPr>
            <w:tcW w:w="76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上海</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（tce/万元）</w:t>
            </w:r>
          </w:p>
        </w:tc>
        <w:tc>
          <w:tcPr>
            <w:tcW w:w="659" w:type="pct"/>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高出</w:t>
            </w:r>
            <w:r>
              <w:rPr>
                <w:rFonts w:eastAsiaTheme="minorEastAsia"/>
                <w:b/>
                <w:color w:val="auto"/>
                <w:kern w:val="0"/>
                <w:sz w:val="24"/>
                <w:szCs w:val="24"/>
              </w:rPr>
              <w:t>比例</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C14</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食品制造业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0.0960</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0.064</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2</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C17</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纺织业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0.1341</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0.092</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3</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C21</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家具制造业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0.0493</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0.024</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105.42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C22</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造纸和纸制品业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0.5452</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0.139</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292.23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5</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C23</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印刷和记录媒介复制业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0.1053</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0.075</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6</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C30</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非金属矿物制品业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0.7680</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0.117</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556.41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7</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C35</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专用设备制造业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0.0274</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0.025</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7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8</w:t>
            </w:r>
          </w:p>
        </w:tc>
        <w:tc>
          <w:tcPr>
            <w:tcW w:w="71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C36</w:t>
            </w:r>
          </w:p>
        </w:tc>
        <w:tc>
          <w:tcPr>
            <w:tcW w:w="17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汽车制造业</w:t>
            </w:r>
          </w:p>
        </w:tc>
        <w:tc>
          <w:tcPr>
            <w:tcW w:w="76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0.0356</w:t>
            </w:r>
          </w:p>
        </w:tc>
        <w:tc>
          <w:tcPr>
            <w:tcW w:w="76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0.027</w:t>
            </w:r>
          </w:p>
        </w:tc>
        <w:tc>
          <w:tcPr>
            <w:tcW w:w="659" w:type="pct"/>
            <w:vAlign w:val="center"/>
          </w:tcPr>
          <w:p>
            <w:pPr>
              <w:widowControl/>
              <w:spacing w:line="240" w:lineRule="auto"/>
              <w:ind w:firstLine="0" w:firstLineChars="0"/>
              <w:jc w:val="center"/>
              <w:rPr>
                <w:color w:val="auto"/>
                <w:sz w:val="24"/>
                <w:szCs w:val="24"/>
              </w:rPr>
            </w:pPr>
            <w:r>
              <w:rPr>
                <w:color w:val="auto"/>
                <w:sz w:val="24"/>
                <w:szCs w:val="24"/>
              </w:rPr>
              <w:t>31.85</w:t>
            </w:r>
          </w:p>
        </w:tc>
      </w:tr>
    </w:tbl>
    <w:p>
      <w:pPr>
        <w:spacing w:line="240" w:lineRule="auto"/>
        <w:ind w:firstLine="0" w:firstLineChars="0"/>
        <w:rPr>
          <w:color w:val="auto"/>
        </w:rPr>
      </w:pPr>
    </w:p>
    <w:p>
      <w:pPr>
        <w:ind w:firstLine="560"/>
        <w:rPr>
          <w:color w:val="auto"/>
        </w:rPr>
      </w:pPr>
      <w:r>
        <w:rPr>
          <w:rFonts w:hint="eastAsia"/>
          <w:color w:val="auto"/>
        </w:rPr>
        <w:t>对比《上海产业能效指南（2018年版）》，</w:t>
      </w:r>
      <w:r>
        <w:rPr>
          <w:color w:val="auto"/>
        </w:rPr>
        <w:t>咸宁高新区</w:t>
      </w:r>
      <w:r>
        <w:rPr>
          <w:rFonts w:hint="eastAsia"/>
          <w:color w:val="auto"/>
        </w:rPr>
        <w:t>行业</w:t>
      </w:r>
      <w:r>
        <w:rPr>
          <w:color w:val="auto"/>
        </w:rPr>
        <w:t>能效差距</w:t>
      </w:r>
      <w:r>
        <w:rPr>
          <w:rFonts w:hint="eastAsia"/>
          <w:color w:val="auto"/>
        </w:rPr>
        <w:t>较大</w:t>
      </w:r>
      <w:r>
        <w:rPr>
          <w:color w:val="auto"/>
        </w:rPr>
        <w:t>的行业主要为</w:t>
      </w:r>
      <w:r>
        <w:rPr>
          <w:rFonts w:hint="eastAsia"/>
          <w:color w:val="auto"/>
        </w:rPr>
        <w:t>非金属矿物制品业及造纸和纸制品业。</w:t>
      </w:r>
      <w:r>
        <w:rPr>
          <w:color w:val="auto"/>
        </w:rPr>
        <w:t>其中</w:t>
      </w:r>
      <w:r>
        <w:rPr>
          <w:rFonts w:hint="eastAsia"/>
          <w:color w:val="auto"/>
        </w:rPr>
        <w:t>，产生非金属矿物制品业能效</w:t>
      </w:r>
      <w:r>
        <w:rPr>
          <w:color w:val="auto"/>
        </w:rPr>
        <w:t>差距的原因是</w:t>
      </w:r>
      <w:r>
        <w:rPr>
          <w:rFonts w:hint="eastAsia"/>
          <w:color w:val="auto"/>
        </w:rPr>
        <w:t>：</w:t>
      </w:r>
      <w:r>
        <w:rPr>
          <w:color w:val="auto"/>
        </w:rPr>
        <w:t>咸宁高新区内有</w:t>
      </w:r>
      <w:r>
        <w:rPr>
          <w:rFonts w:hint="eastAsia"/>
          <w:color w:val="auto"/>
        </w:rPr>
        <w:t>南玻</w:t>
      </w:r>
      <w:r>
        <w:rPr>
          <w:color w:val="auto"/>
        </w:rPr>
        <w:t>集团</w:t>
      </w:r>
      <w:r>
        <w:rPr>
          <w:rFonts w:hint="eastAsia"/>
          <w:color w:val="auto"/>
        </w:rPr>
        <w:t>下属</w:t>
      </w:r>
      <w:r>
        <w:rPr>
          <w:color w:val="auto"/>
        </w:rPr>
        <w:t>的</w:t>
      </w:r>
      <w:r>
        <w:rPr>
          <w:rFonts w:hint="eastAsia"/>
          <w:color w:val="auto"/>
        </w:rPr>
        <w:t>南玻玻璃、南玻</w:t>
      </w:r>
      <w:r>
        <w:rPr>
          <w:color w:val="auto"/>
        </w:rPr>
        <w:t>光电</w:t>
      </w:r>
      <w:r>
        <w:rPr>
          <w:rFonts w:hint="eastAsia"/>
          <w:color w:val="auto"/>
        </w:rPr>
        <w:t>玻璃、南玻节能玻璃三家玻璃</w:t>
      </w:r>
      <w:r>
        <w:rPr>
          <w:color w:val="auto"/>
        </w:rPr>
        <w:t>制造高耗能企业</w:t>
      </w:r>
      <w:r>
        <w:rPr>
          <w:rFonts w:hint="eastAsia"/>
          <w:color w:val="auto"/>
        </w:rPr>
        <w:t>，</w:t>
      </w:r>
      <w:r>
        <w:rPr>
          <w:color w:val="auto"/>
        </w:rPr>
        <w:t>占</w:t>
      </w:r>
      <w:r>
        <w:rPr>
          <w:rFonts w:hint="eastAsia"/>
          <w:color w:val="auto"/>
        </w:rPr>
        <w:t>到区内该行业</w:t>
      </w:r>
      <w:r>
        <w:rPr>
          <w:color w:val="auto"/>
        </w:rPr>
        <w:t>能耗的</w:t>
      </w:r>
      <w:r>
        <w:rPr>
          <w:rFonts w:hint="eastAsia"/>
          <w:color w:val="auto"/>
        </w:rPr>
        <w:t>99</w:t>
      </w:r>
      <w:r>
        <w:rPr>
          <w:color w:val="auto"/>
        </w:rPr>
        <w:t>%</w:t>
      </w:r>
      <w:r>
        <w:rPr>
          <w:rFonts w:hint="eastAsia"/>
          <w:color w:val="auto"/>
        </w:rPr>
        <w:t>，拉低</w:t>
      </w:r>
      <w:r>
        <w:rPr>
          <w:color w:val="auto"/>
        </w:rPr>
        <w:t>了</w:t>
      </w:r>
      <w:r>
        <w:rPr>
          <w:rFonts w:hint="eastAsia"/>
          <w:color w:val="auto"/>
        </w:rPr>
        <w:t>区内</w:t>
      </w:r>
      <w:r>
        <w:rPr>
          <w:color w:val="auto"/>
        </w:rPr>
        <w:t>该产业</w:t>
      </w:r>
      <w:r>
        <w:rPr>
          <w:rFonts w:hint="eastAsia"/>
          <w:color w:val="auto"/>
        </w:rPr>
        <w:t>的</w:t>
      </w:r>
      <w:r>
        <w:rPr>
          <w:color w:val="auto"/>
        </w:rPr>
        <w:t>产值能耗水平</w:t>
      </w:r>
      <w:r>
        <w:rPr>
          <w:rFonts w:hint="eastAsia"/>
          <w:color w:val="auto"/>
        </w:rPr>
        <w:t>，同时，上海市非金属矿物制品业在</w:t>
      </w:r>
      <w:r>
        <w:rPr>
          <w:color w:val="auto"/>
        </w:rPr>
        <w:t>企业数量及</w:t>
      </w:r>
      <w:r>
        <w:rPr>
          <w:rFonts w:hint="eastAsia"/>
          <w:color w:val="auto"/>
        </w:rPr>
        <w:t>产品</w:t>
      </w:r>
      <w:r>
        <w:rPr>
          <w:color w:val="auto"/>
        </w:rPr>
        <w:t>附加值水平与高新</w:t>
      </w:r>
      <w:r>
        <w:rPr>
          <w:rFonts w:hint="eastAsia"/>
          <w:color w:val="auto"/>
        </w:rPr>
        <w:t>区仅有</w:t>
      </w:r>
      <w:r>
        <w:rPr>
          <w:color w:val="auto"/>
        </w:rPr>
        <w:t>的三家企业</w:t>
      </w:r>
      <w:r>
        <w:rPr>
          <w:rFonts w:hint="eastAsia"/>
          <w:color w:val="auto"/>
        </w:rPr>
        <w:t>存在显著</w:t>
      </w:r>
      <w:r>
        <w:rPr>
          <w:color w:val="auto"/>
        </w:rPr>
        <w:t>差距，因此造成了</w:t>
      </w:r>
      <w:r>
        <w:rPr>
          <w:rFonts w:hint="eastAsia"/>
          <w:color w:val="auto"/>
        </w:rPr>
        <w:t>两者产值能耗指标</w:t>
      </w:r>
      <w:r>
        <w:rPr>
          <w:color w:val="auto"/>
        </w:rPr>
        <w:t>的</w:t>
      </w:r>
      <w:r>
        <w:rPr>
          <w:rFonts w:hint="eastAsia"/>
          <w:color w:val="auto"/>
        </w:rPr>
        <w:t>明显</w:t>
      </w:r>
      <w:r>
        <w:rPr>
          <w:color w:val="auto"/>
        </w:rPr>
        <w:t>差距</w:t>
      </w:r>
      <w:r>
        <w:rPr>
          <w:rFonts w:hint="eastAsia"/>
          <w:color w:val="auto"/>
        </w:rPr>
        <w:t>。造成造纸和纸制品业能效差距的原因是：</w:t>
      </w:r>
      <w:r>
        <w:rPr>
          <w:color w:val="auto"/>
        </w:rPr>
        <w:t>区内仅有</w:t>
      </w:r>
      <w:r>
        <w:rPr>
          <w:rFonts w:hint="eastAsia"/>
          <w:color w:val="auto"/>
        </w:rPr>
        <w:t>湖北恒丰纸业有限公司一家</w:t>
      </w:r>
      <w:r>
        <w:rPr>
          <w:color w:val="auto"/>
        </w:rPr>
        <w:t>造纸企业，</w:t>
      </w:r>
      <w:r>
        <w:rPr>
          <w:rFonts w:hint="eastAsia"/>
          <w:color w:val="auto"/>
        </w:rPr>
        <w:t>而</w:t>
      </w:r>
      <w:r>
        <w:rPr>
          <w:color w:val="auto"/>
        </w:rPr>
        <w:t>该企业主要产品为</w:t>
      </w:r>
      <w:r>
        <w:rPr>
          <w:rFonts w:hint="eastAsia"/>
          <w:color w:val="auto"/>
        </w:rPr>
        <w:t>烟草工业用纸</w:t>
      </w:r>
      <w:r>
        <w:rPr>
          <w:color w:val="auto"/>
        </w:rPr>
        <w:t>，</w:t>
      </w:r>
      <w:r>
        <w:rPr>
          <w:rFonts w:hint="eastAsia"/>
          <w:color w:val="auto"/>
        </w:rPr>
        <w:t>包括铝箔衬纸、薄型印刷纸和其他纸类产品，</w:t>
      </w:r>
      <w:r>
        <w:rPr>
          <w:color w:val="auto"/>
        </w:rPr>
        <w:t>受</w:t>
      </w:r>
      <w:r>
        <w:rPr>
          <w:rFonts w:hint="eastAsia"/>
          <w:color w:val="auto"/>
        </w:rPr>
        <w:t>产品</w:t>
      </w:r>
      <w:r>
        <w:rPr>
          <w:color w:val="auto"/>
        </w:rPr>
        <w:t>和工艺要求</w:t>
      </w:r>
      <w:r>
        <w:rPr>
          <w:rFonts w:hint="eastAsia"/>
          <w:color w:val="auto"/>
        </w:rPr>
        <w:t>，</w:t>
      </w:r>
      <w:r>
        <w:rPr>
          <w:color w:val="auto"/>
        </w:rPr>
        <w:t>其</w:t>
      </w:r>
      <w:r>
        <w:rPr>
          <w:rFonts w:hint="eastAsia"/>
          <w:color w:val="auto"/>
        </w:rPr>
        <w:t>生产能耗</w:t>
      </w:r>
      <w:r>
        <w:rPr>
          <w:color w:val="auto"/>
        </w:rPr>
        <w:t>高于普通</w:t>
      </w:r>
      <w:r>
        <w:rPr>
          <w:rFonts w:hint="eastAsia"/>
          <w:color w:val="auto"/>
        </w:rPr>
        <w:t>包装用纸。</w:t>
      </w:r>
    </w:p>
    <w:p>
      <w:pPr>
        <w:ind w:firstLine="560"/>
        <w:rPr>
          <w:color w:val="auto"/>
        </w:rPr>
      </w:pPr>
      <w:r>
        <w:rPr>
          <w:rFonts w:hint="eastAsia"/>
          <w:color w:val="auto"/>
        </w:rPr>
        <w:t>就</w:t>
      </w:r>
      <w:r>
        <w:rPr>
          <w:color w:val="auto"/>
        </w:rPr>
        <w:t>具体细分行业，</w:t>
      </w:r>
      <w:r>
        <w:rPr>
          <w:rFonts w:hint="eastAsia"/>
          <w:color w:val="auto"/>
        </w:rPr>
        <w:t>咸宁</w:t>
      </w:r>
      <w:r>
        <w:rPr>
          <w:color w:val="auto"/>
        </w:rPr>
        <w:t>高新区</w:t>
      </w:r>
      <w:r>
        <w:rPr>
          <w:rFonts w:hint="eastAsia"/>
          <w:color w:val="auto"/>
        </w:rPr>
        <w:t>尚有18个</w:t>
      </w:r>
      <w:r>
        <w:rPr>
          <w:color w:val="auto"/>
        </w:rPr>
        <w:t>行业高于</w:t>
      </w:r>
      <w:r>
        <w:rPr>
          <w:rFonts w:hint="eastAsia"/>
          <w:color w:val="auto"/>
        </w:rPr>
        <w:t>对比值</w:t>
      </w:r>
      <w:r>
        <w:rPr>
          <w:color w:val="auto"/>
        </w:rPr>
        <w:t>，</w:t>
      </w:r>
      <w:r>
        <w:rPr>
          <w:rFonts w:hint="eastAsia"/>
          <w:color w:val="auto"/>
        </w:rPr>
        <w:t>未来咸宁高新区应加强以下行业节能降耗工作力度。</w:t>
      </w:r>
      <w:r>
        <w:rPr>
          <w:color w:val="auto"/>
        </w:rPr>
        <w:t>具体</w:t>
      </w:r>
      <w:r>
        <w:rPr>
          <w:rFonts w:hint="eastAsia"/>
          <w:color w:val="auto"/>
        </w:rPr>
        <w:t>如下表</w:t>
      </w:r>
      <w:r>
        <w:rPr>
          <w:color w:val="auto"/>
        </w:rPr>
        <w:t>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咸宁高新区行业小类能效水平对比（当量值）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0"/>
        <w:gridCol w:w="1053"/>
        <w:gridCol w:w="2896"/>
        <w:gridCol w:w="1420"/>
        <w:gridCol w:w="1276"/>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b/>
                <w:color w:val="auto"/>
                <w:kern w:val="0"/>
                <w:sz w:val="24"/>
                <w:szCs w:val="24"/>
              </w:rPr>
            </w:pPr>
            <w:r>
              <w:rPr>
                <w:rFonts w:hint="eastAsia"/>
                <w:b/>
                <w:color w:val="auto"/>
                <w:sz w:val="24"/>
                <w:szCs w:val="24"/>
              </w:rPr>
              <w:t>序号</w:t>
            </w:r>
          </w:p>
        </w:tc>
        <w:tc>
          <w:tcPr>
            <w:tcW w:w="6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b/>
                <w:color w:val="auto"/>
                <w:sz w:val="24"/>
                <w:szCs w:val="24"/>
              </w:rPr>
              <w:t>行业代码</w:t>
            </w:r>
          </w:p>
        </w:tc>
        <w:tc>
          <w:tcPr>
            <w:tcW w:w="1741"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b/>
                <w:color w:val="auto"/>
                <w:sz w:val="24"/>
                <w:szCs w:val="24"/>
              </w:rPr>
              <w:t>行业名称</w:t>
            </w:r>
          </w:p>
        </w:tc>
        <w:tc>
          <w:tcPr>
            <w:tcW w:w="854" w:type="pct"/>
            <w:shd w:val="clear" w:color="auto" w:fill="auto"/>
            <w:noWrap/>
            <w:vAlign w:val="center"/>
          </w:tcPr>
          <w:p>
            <w:pPr>
              <w:widowControl/>
              <w:spacing w:line="240" w:lineRule="auto"/>
              <w:ind w:firstLine="0" w:firstLineChars="0"/>
              <w:jc w:val="center"/>
              <w:rPr>
                <w:b/>
                <w:color w:val="auto"/>
                <w:sz w:val="24"/>
                <w:szCs w:val="24"/>
              </w:rPr>
            </w:pPr>
            <w:r>
              <w:rPr>
                <w:rFonts w:hint="eastAsia"/>
                <w:b/>
                <w:color w:val="auto"/>
                <w:sz w:val="24"/>
                <w:szCs w:val="24"/>
              </w:rPr>
              <w:t>开发区</w:t>
            </w:r>
          </w:p>
          <w:p>
            <w:pPr>
              <w:widowControl/>
              <w:spacing w:line="240" w:lineRule="auto"/>
              <w:ind w:firstLine="0" w:firstLineChars="0"/>
              <w:jc w:val="center"/>
              <w:rPr>
                <w:rFonts w:eastAsiaTheme="minorEastAsia"/>
                <w:b/>
                <w:color w:val="auto"/>
                <w:kern w:val="0"/>
                <w:sz w:val="24"/>
                <w:szCs w:val="24"/>
              </w:rPr>
            </w:pPr>
            <w:r>
              <w:rPr>
                <w:rFonts w:hint="eastAsia"/>
                <w:b/>
                <w:color w:val="auto"/>
                <w:sz w:val="24"/>
                <w:szCs w:val="24"/>
              </w:rPr>
              <w:t>（tce/万元）</w:t>
            </w:r>
          </w:p>
        </w:tc>
        <w:tc>
          <w:tcPr>
            <w:tcW w:w="767"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上海</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（tce/万元）</w:t>
            </w:r>
          </w:p>
        </w:tc>
        <w:tc>
          <w:tcPr>
            <w:tcW w:w="650"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高出比例</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C1411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糕点、面包制造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0.1589</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0.064</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C1491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营养食品制造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0.0797</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0.057</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C1499</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其他未列明食品制造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0.3169</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0.057</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C1521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碳酸饮料制造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0.5397</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0.094</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C1522</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瓶（罐）装饮用水制造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0.1387</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0.094</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C1731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麻纤维纺前加工和纺纱</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0.1361</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0.022</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C1772</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毛巾类制品制造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0.1913</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0.018</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962.8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8</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C2130</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金属家具制造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0.1461</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0.016</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813.1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9</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C2221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木竹浆制造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0.5452</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0.365</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C2319</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其他文教办公用品制造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0.1314</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0.074</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11</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C3041</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平板玻璃制造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1.7207</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0.189</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12</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C3052</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光学玻璃制造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1.0694</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0.096</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13</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C3513</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深海石油钻探设备制造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0.0694</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0.024</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14</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C3599</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其他专用设备制造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0.0283</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0.009</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15</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C3660</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汽车车身、挂车制造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0.0327</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0.022</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16</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C3670</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汽车零部件及配件制造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0.0360</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0.033</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17</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C3713</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窄轨机车车辆制造</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0.0302</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0.023</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55"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18</w:t>
            </w:r>
          </w:p>
        </w:tc>
        <w:tc>
          <w:tcPr>
            <w:tcW w:w="6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D4610</w:t>
            </w:r>
          </w:p>
        </w:tc>
        <w:tc>
          <w:tcPr>
            <w:tcW w:w="1741"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自来水生产和供应</w:t>
            </w:r>
          </w:p>
        </w:tc>
        <w:tc>
          <w:tcPr>
            <w:tcW w:w="85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0.3528</w:t>
            </w:r>
          </w:p>
        </w:tc>
        <w:tc>
          <w:tcPr>
            <w:tcW w:w="76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0.292</w:t>
            </w:r>
          </w:p>
        </w:tc>
        <w:tc>
          <w:tcPr>
            <w:tcW w:w="65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20.8</w:t>
            </w:r>
          </w:p>
        </w:tc>
      </w:tr>
    </w:tbl>
    <w:p>
      <w:pPr>
        <w:spacing w:after="190" w:afterLines="50"/>
        <w:ind w:firstLine="0" w:firstLineChars="0"/>
        <w:rPr>
          <w:color w:val="auto"/>
          <w:sz w:val="21"/>
        </w:rPr>
      </w:pPr>
      <w:r>
        <w:rPr>
          <w:rFonts w:hint="eastAsia"/>
          <w:color w:val="auto"/>
          <w:sz w:val="21"/>
        </w:rPr>
        <w:t>注：</w:t>
      </w:r>
      <w:r>
        <w:rPr>
          <w:color w:val="auto"/>
          <w:sz w:val="21"/>
        </w:rPr>
        <w:t>咸宁高新区</w:t>
      </w:r>
      <w:r>
        <w:rPr>
          <w:rFonts w:hint="eastAsia"/>
          <w:color w:val="auto"/>
          <w:sz w:val="21"/>
        </w:rPr>
        <w:t>部分</w:t>
      </w:r>
      <w:r>
        <w:rPr>
          <w:color w:val="auto"/>
          <w:sz w:val="21"/>
        </w:rPr>
        <w:t>行业</w:t>
      </w:r>
      <w:r>
        <w:rPr>
          <w:rFonts w:hint="eastAsia"/>
          <w:color w:val="auto"/>
          <w:sz w:val="21"/>
        </w:rPr>
        <w:t>企业</w:t>
      </w:r>
      <w:r>
        <w:rPr>
          <w:color w:val="auto"/>
          <w:sz w:val="21"/>
        </w:rPr>
        <w:t>数量</w:t>
      </w:r>
      <w:r>
        <w:rPr>
          <w:rFonts w:hint="eastAsia"/>
          <w:color w:val="auto"/>
          <w:sz w:val="21"/>
        </w:rPr>
        <w:t>较少，导致</w:t>
      </w:r>
      <w:r>
        <w:rPr>
          <w:color w:val="auto"/>
          <w:sz w:val="21"/>
        </w:rPr>
        <w:t>与上海</w:t>
      </w:r>
      <w:r>
        <w:rPr>
          <w:rFonts w:hint="eastAsia"/>
          <w:color w:val="auto"/>
          <w:sz w:val="21"/>
        </w:rPr>
        <w:t>市</w:t>
      </w:r>
      <w:r>
        <w:rPr>
          <w:color w:val="auto"/>
          <w:sz w:val="21"/>
        </w:rPr>
        <w:t>对应行业</w:t>
      </w:r>
      <w:r>
        <w:rPr>
          <w:rFonts w:hint="eastAsia"/>
          <w:color w:val="auto"/>
          <w:sz w:val="21"/>
        </w:rPr>
        <w:t>产值能效</w:t>
      </w:r>
      <w:r>
        <w:rPr>
          <w:color w:val="auto"/>
          <w:sz w:val="21"/>
        </w:rPr>
        <w:t>对比差距较大。</w:t>
      </w:r>
    </w:p>
    <w:p>
      <w:pPr>
        <w:ind w:firstLine="560"/>
        <w:rPr>
          <w:color w:val="auto"/>
        </w:rPr>
      </w:pPr>
      <w:r>
        <w:rPr>
          <w:rFonts w:hint="eastAsia"/>
          <w:color w:val="auto"/>
        </w:rPr>
        <w:t>《上海产业能效指南（2018年版）》产值能效数据仅细分到行业中类，并且由于咸宁</w:t>
      </w:r>
      <w:r>
        <w:rPr>
          <w:color w:val="auto"/>
        </w:rPr>
        <w:t>高新区与上海市在同行业企业</w:t>
      </w:r>
      <w:r>
        <w:rPr>
          <w:rFonts w:hint="eastAsia"/>
          <w:color w:val="auto"/>
        </w:rPr>
        <w:t>数量、细分种类</w:t>
      </w:r>
      <w:r>
        <w:rPr>
          <w:color w:val="auto"/>
        </w:rPr>
        <w:t>、产值</w:t>
      </w:r>
      <w:r>
        <w:rPr>
          <w:rFonts w:hint="eastAsia"/>
          <w:color w:val="auto"/>
        </w:rPr>
        <w:t>规模</w:t>
      </w:r>
      <w:r>
        <w:rPr>
          <w:color w:val="auto"/>
        </w:rPr>
        <w:t>上有</w:t>
      </w:r>
      <w:r>
        <w:rPr>
          <w:rFonts w:hint="eastAsia"/>
          <w:color w:val="auto"/>
        </w:rPr>
        <w:t>显著</w:t>
      </w:r>
      <w:r>
        <w:rPr>
          <w:color w:val="auto"/>
        </w:rPr>
        <w:t>差异，因此</w:t>
      </w:r>
      <w:r>
        <w:rPr>
          <w:rFonts w:hint="eastAsia"/>
          <w:color w:val="auto"/>
        </w:rPr>
        <w:t>造成</w:t>
      </w:r>
      <w:r>
        <w:rPr>
          <w:color w:val="auto"/>
        </w:rPr>
        <w:t>两者</w:t>
      </w:r>
      <w:r>
        <w:rPr>
          <w:rFonts w:hint="eastAsia"/>
          <w:color w:val="auto"/>
        </w:rPr>
        <w:t>部分</w:t>
      </w:r>
      <w:r>
        <w:rPr>
          <w:color w:val="auto"/>
        </w:rPr>
        <w:t>产业在</w:t>
      </w:r>
      <w:r>
        <w:rPr>
          <w:rFonts w:hint="eastAsia"/>
          <w:color w:val="auto"/>
        </w:rPr>
        <w:t>产值</w:t>
      </w:r>
      <w:r>
        <w:rPr>
          <w:color w:val="auto"/>
        </w:rPr>
        <w:t>能耗</w:t>
      </w:r>
      <w:r>
        <w:rPr>
          <w:rFonts w:hint="eastAsia"/>
          <w:color w:val="auto"/>
        </w:rPr>
        <w:t>上</w:t>
      </w:r>
      <w:r>
        <w:rPr>
          <w:color w:val="auto"/>
        </w:rPr>
        <w:t>的明显</w:t>
      </w:r>
      <w:r>
        <w:rPr>
          <w:rFonts w:hint="eastAsia"/>
          <w:color w:val="auto"/>
        </w:rPr>
        <w:t>差异</w:t>
      </w:r>
      <w:r>
        <w:rPr>
          <w:color w:val="auto"/>
        </w:rPr>
        <w:t>。</w:t>
      </w:r>
      <w:r>
        <w:rPr>
          <w:rFonts w:hint="eastAsia"/>
          <w:color w:val="auto"/>
        </w:rPr>
        <w:t>以光学玻璃制造</w:t>
      </w:r>
      <w:r>
        <w:rPr>
          <w:color w:val="auto"/>
        </w:rPr>
        <w:t>（C3052）</w:t>
      </w:r>
      <w:r>
        <w:rPr>
          <w:rFonts w:hint="eastAsia"/>
          <w:color w:val="auto"/>
        </w:rPr>
        <w:t>为例</w:t>
      </w:r>
      <w:r>
        <w:rPr>
          <w:color w:val="auto"/>
        </w:rPr>
        <w:t>，咸宁高新区内仅一家</w:t>
      </w:r>
      <w:r>
        <w:rPr>
          <w:rFonts w:hint="eastAsia"/>
          <w:color w:val="auto"/>
        </w:rPr>
        <w:t>企业</w:t>
      </w:r>
      <w:r>
        <w:rPr>
          <w:color w:val="auto"/>
        </w:rPr>
        <w:t>，</w:t>
      </w:r>
      <w:r>
        <w:rPr>
          <w:rFonts w:hint="eastAsia"/>
          <w:color w:val="auto"/>
        </w:rPr>
        <w:t>将其与</w:t>
      </w:r>
      <w:r>
        <w:rPr>
          <w:color w:val="auto"/>
        </w:rPr>
        <w:t>上海市</w:t>
      </w:r>
      <w:r>
        <w:rPr>
          <w:rFonts w:hint="eastAsia"/>
          <w:color w:val="auto"/>
        </w:rPr>
        <w:t>整个玻璃制品制造（C</w:t>
      </w:r>
      <w:r>
        <w:rPr>
          <w:color w:val="auto"/>
        </w:rPr>
        <w:t>305</w:t>
      </w:r>
      <w:r>
        <w:rPr>
          <w:rFonts w:hint="eastAsia"/>
          <w:color w:val="auto"/>
        </w:rPr>
        <w:t>）进行对比，则会</w:t>
      </w:r>
      <w:r>
        <w:rPr>
          <w:color w:val="auto"/>
        </w:rPr>
        <w:t>出现明显</w:t>
      </w:r>
      <w:r>
        <w:rPr>
          <w:rFonts w:hint="eastAsia"/>
          <w:color w:val="auto"/>
        </w:rPr>
        <w:t>差距。</w:t>
      </w:r>
    </w:p>
    <w:p>
      <w:pPr>
        <w:ind w:firstLine="560"/>
        <w:rPr>
          <w:color w:val="auto"/>
        </w:rPr>
      </w:pPr>
      <w:r>
        <w:rPr>
          <w:rFonts w:hint="eastAsia"/>
          <w:color w:val="auto"/>
        </w:rPr>
        <w:t>根据咸宁国家高新技术产业开发区各行业能耗现状分析，结合开发区产业发展趋势，设定各产业能源消费强度控制目标以供</w:t>
      </w:r>
      <w:r>
        <w:rPr>
          <w:color w:val="auto"/>
        </w:rPr>
        <w:t>参考</w:t>
      </w:r>
      <w:r>
        <w:rPr>
          <w:rFonts w:hint="eastAsia"/>
          <w:color w:val="auto"/>
        </w:rPr>
        <w:t>，以期实现咸宁国家高新技术产业开发区“双控”目标的顺利完成。</w:t>
      </w:r>
    </w:p>
    <w:p>
      <w:pPr>
        <w:ind w:firstLine="560"/>
        <w:rPr>
          <w:color w:val="auto"/>
        </w:rPr>
      </w:pPr>
    </w:p>
    <w:p>
      <w:pPr>
        <w:ind w:firstLine="560"/>
        <w:rPr>
          <w:color w:val="auto"/>
        </w:rPr>
        <w:sectPr>
          <w:pgSz w:w="11906" w:h="16838"/>
          <w:pgMar w:top="1440" w:right="1800" w:bottom="1440" w:left="1800" w:header="850" w:footer="992" w:gutter="0"/>
          <w:cols w:space="425" w:num="1"/>
          <w:docGrid w:type="lines" w:linePitch="381" w:charSpace="0"/>
        </w:sectPr>
      </w:pP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w:t>
      </w:r>
      <w:r>
        <w:rPr>
          <w:rFonts w:hint="eastAsia"/>
          <w:color w:val="auto"/>
        </w:rPr>
        <w:t>咸宁高新区各产业能源强度控制指标（当量值）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9"/>
        <w:gridCol w:w="1416"/>
        <w:gridCol w:w="5530"/>
        <w:gridCol w:w="2395"/>
        <w:gridCol w:w="1430"/>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序号</w:t>
            </w:r>
          </w:p>
        </w:tc>
        <w:tc>
          <w:tcPr>
            <w:tcW w:w="503"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行业代码</w:t>
            </w:r>
          </w:p>
        </w:tc>
        <w:tc>
          <w:tcPr>
            <w:tcW w:w="1965"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行业名称</w:t>
            </w:r>
          </w:p>
        </w:tc>
        <w:tc>
          <w:tcPr>
            <w:tcW w:w="851"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2019年能源强度现状</w:t>
            </w:r>
          </w:p>
          <w:p>
            <w:pPr>
              <w:widowControl/>
              <w:spacing w:line="240" w:lineRule="auto"/>
              <w:ind w:firstLine="0" w:firstLineChars="0"/>
              <w:jc w:val="center"/>
              <w:rPr>
                <w:b/>
                <w:bCs/>
                <w:color w:val="auto"/>
                <w:kern w:val="0"/>
                <w:sz w:val="24"/>
                <w:szCs w:val="24"/>
              </w:rPr>
            </w:pPr>
            <w:r>
              <w:rPr>
                <w:b/>
                <w:bCs/>
                <w:color w:val="auto"/>
                <w:kern w:val="0"/>
                <w:sz w:val="24"/>
                <w:szCs w:val="24"/>
              </w:rPr>
              <w:t>（tce/万元）</w:t>
            </w:r>
          </w:p>
        </w:tc>
        <w:tc>
          <w:tcPr>
            <w:tcW w:w="508"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下降率</w:t>
            </w:r>
          </w:p>
        </w:tc>
        <w:tc>
          <w:tcPr>
            <w:tcW w:w="850" w:type="pct"/>
            <w:shd w:val="clear" w:color="auto" w:fill="auto"/>
            <w:noWrap/>
            <w:vAlign w:val="center"/>
          </w:tcPr>
          <w:p>
            <w:pPr>
              <w:widowControl/>
              <w:spacing w:line="240" w:lineRule="auto"/>
              <w:ind w:firstLine="0" w:firstLineChars="0"/>
              <w:jc w:val="center"/>
              <w:rPr>
                <w:b/>
                <w:bCs/>
                <w:color w:val="auto"/>
                <w:kern w:val="0"/>
                <w:sz w:val="24"/>
                <w:szCs w:val="24"/>
              </w:rPr>
            </w:pPr>
            <w:r>
              <w:rPr>
                <w:b/>
                <w:bCs/>
                <w:color w:val="auto"/>
                <w:kern w:val="0"/>
                <w:sz w:val="24"/>
                <w:szCs w:val="24"/>
              </w:rPr>
              <w:t>2022年能源强度目标</w:t>
            </w:r>
          </w:p>
          <w:p>
            <w:pPr>
              <w:widowControl/>
              <w:spacing w:line="240" w:lineRule="auto"/>
              <w:ind w:firstLine="0" w:firstLineChars="0"/>
              <w:jc w:val="center"/>
              <w:rPr>
                <w:b/>
                <w:bCs/>
                <w:color w:val="auto"/>
                <w:kern w:val="0"/>
                <w:sz w:val="24"/>
                <w:szCs w:val="24"/>
              </w:rPr>
            </w:pPr>
            <w:r>
              <w:rPr>
                <w:b/>
                <w:bCs/>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B10</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非金属矿采选业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0.0010</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C13</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农副食品加工业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0.0045</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3</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C14</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食品制造业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0.0960</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4</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C15</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酒、饮料和精制茶制造业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0.0344</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C17</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纺织业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0.1341</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6</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C18</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纺织服装、服饰业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0.0158</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7</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C20</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木材加工和木、竹、藤、棕、草制品业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0.0151</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8</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C21</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家具制造业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0.0493</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9</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C22</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造纸和纸制品业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0.5452</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0.4906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C23</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印刷和记录媒介复制业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0.1053</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11</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C26</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化学原料和化学制品制造业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0.0244</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12</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C27</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医药制造业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0.0315</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13</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C29</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橡胶和塑料制品业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0.0032</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14</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C30</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非金属矿物制品业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0.7680</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0.6912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15</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C33</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金属制品业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0.0291</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16</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C34</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通用设备制造业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0.0099</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17</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C35</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专用设备制造业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0.0274</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10</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18</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C36</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汽车制造业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0.0356</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19</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C37</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铁路、船舶、航空航天和其他运输设备制造业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0.0302</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20</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C38</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电气机械和器材制造业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0.0086</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21</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C39</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计算机、通信和其他电子设备制造业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0.0163</w:t>
            </w:r>
          </w:p>
        </w:tc>
        <w:tc>
          <w:tcPr>
            <w:tcW w:w="508"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22</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C40</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仪器仪表制造业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0.0099</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23</w:t>
            </w:r>
          </w:p>
        </w:tc>
        <w:tc>
          <w:tcPr>
            <w:tcW w:w="503"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D46</w:t>
            </w:r>
          </w:p>
        </w:tc>
        <w:tc>
          <w:tcPr>
            <w:tcW w:w="1965" w:type="pct"/>
            <w:shd w:val="clear" w:color="auto" w:fill="auto"/>
            <w:noWrap/>
            <w:vAlign w:val="center"/>
          </w:tcPr>
          <w:p>
            <w:pPr>
              <w:widowControl/>
              <w:spacing w:line="240" w:lineRule="auto"/>
              <w:ind w:firstLine="0" w:firstLineChars="0"/>
              <w:jc w:val="center"/>
              <w:rPr>
                <w:color w:val="auto"/>
                <w:kern w:val="0"/>
                <w:sz w:val="24"/>
                <w:szCs w:val="24"/>
              </w:rPr>
            </w:pPr>
            <w:r>
              <w:rPr>
                <w:color w:val="auto"/>
                <w:kern w:val="0"/>
                <w:sz w:val="24"/>
                <w:szCs w:val="24"/>
              </w:rPr>
              <w:t>水的生产和供应业</w:t>
            </w:r>
          </w:p>
        </w:tc>
        <w:tc>
          <w:tcPr>
            <w:tcW w:w="851"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0.1919</w:t>
            </w:r>
          </w:p>
        </w:tc>
        <w:tc>
          <w:tcPr>
            <w:tcW w:w="508"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5</w:t>
            </w:r>
          </w:p>
        </w:tc>
        <w:tc>
          <w:tcPr>
            <w:tcW w:w="850" w:type="pct"/>
            <w:shd w:val="clear" w:color="auto" w:fill="auto"/>
            <w:noWrap/>
            <w:vAlign w:val="center"/>
          </w:tcPr>
          <w:p>
            <w:pPr>
              <w:widowControl/>
              <w:spacing w:line="240" w:lineRule="auto"/>
              <w:ind w:firstLine="0" w:firstLineChars="0"/>
              <w:jc w:val="center"/>
              <w:rPr>
                <w:bCs/>
                <w:color w:val="auto"/>
                <w:kern w:val="0"/>
                <w:sz w:val="24"/>
                <w:szCs w:val="24"/>
              </w:rPr>
            </w:pPr>
            <w:r>
              <w:rPr>
                <w:bCs/>
                <w:color w:val="auto"/>
                <w:kern w:val="0"/>
                <w:sz w:val="24"/>
                <w:szCs w:val="24"/>
              </w:rPr>
              <w:t>0.1823</w:t>
            </w:r>
          </w:p>
        </w:tc>
      </w:tr>
    </w:tbl>
    <w:p>
      <w:pPr>
        <w:ind w:firstLine="0" w:firstLineChars="0"/>
        <w:rPr>
          <w:color w:val="auto"/>
          <w:sz w:val="21"/>
        </w:rPr>
      </w:pPr>
      <w:r>
        <w:rPr>
          <w:rFonts w:hint="eastAsia"/>
          <w:color w:val="auto"/>
          <w:sz w:val="21"/>
        </w:rPr>
        <w:t>注</w:t>
      </w:r>
      <w:r>
        <w:rPr>
          <w:color w:val="auto"/>
          <w:sz w:val="21"/>
        </w:rPr>
        <w:t>：上表</w:t>
      </w:r>
      <w:r>
        <w:rPr>
          <w:rFonts w:hint="eastAsia"/>
          <w:color w:val="auto"/>
          <w:sz w:val="21"/>
        </w:rPr>
        <w:t>目标</w:t>
      </w:r>
      <w:r>
        <w:rPr>
          <w:color w:val="auto"/>
          <w:sz w:val="21"/>
        </w:rPr>
        <w:t>仅</w:t>
      </w:r>
      <w:r>
        <w:rPr>
          <w:rFonts w:hint="eastAsia"/>
          <w:color w:val="auto"/>
          <w:sz w:val="21"/>
        </w:rPr>
        <w:t>供</w:t>
      </w:r>
      <w:r>
        <w:rPr>
          <w:color w:val="auto"/>
          <w:sz w:val="21"/>
        </w:rPr>
        <w:t>参考</w:t>
      </w:r>
    </w:p>
    <w:p>
      <w:pPr>
        <w:ind w:firstLine="0" w:firstLineChars="0"/>
        <w:rPr>
          <w:color w:val="auto"/>
        </w:rPr>
      </w:pPr>
    </w:p>
    <w:p>
      <w:pPr>
        <w:ind w:firstLine="0" w:firstLineChars="0"/>
        <w:rPr>
          <w:color w:val="auto"/>
        </w:rPr>
        <w:sectPr>
          <w:pgSz w:w="16838" w:h="11906" w:orient="landscape"/>
          <w:pgMar w:top="1800" w:right="1440" w:bottom="1800" w:left="1440" w:header="850" w:footer="992" w:gutter="0"/>
          <w:cols w:space="425" w:num="1"/>
          <w:docGrid w:type="lines" w:linePitch="381" w:charSpace="0"/>
        </w:sectPr>
      </w:pPr>
    </w:p>
    <w:p>
      <w:pPr>
        <w:pStyle w:val="3"/>
        <w:ind w:firstLine="643"/>
        <w:rPr>
          <w:color w:val="auto"/>
        </w:rPr>
      </w:pPr>
      <w:bookmarkStart w:id="44" w:name="_Toc40625179"/>
      <w:r>
        <w:rPr>
          <w:rFonts w:hint="eastAsia"/>
          <w:color w:val="auto"/>
        </w:rPr>
        <w:t>5.2区域主要</w:t>
      </w:r>
      <w:r>
        <w:rPr>
          <w:color w:val="auto"/>
        </w:rPr>
        <w:t>行业</w:t>
      </w:r>
      <w:r>
        <w:rPr>
          <w:rFonts w:hint="eastAsia"/>
          <w:color w:val="auto"/>
        </w:rPr>
        <w:t>物理</w:t>
      </w:r>
      <w:r>
        <w:rPr>
          <w:color w:val="auto"/>
        </w:rPr>
        <w:t>能效指标</w:t>
      </w:r>
      <w:r>
        <w:rPr>
          <w:rFonts w:hint="eastAsia"/>
          <w:color w:val="auto"/>
        </w:rPr>
        <w:t>评价</w:t>
      </w:r>
      <w:bookmarkEnd w:id="44"/>
    </w:p>
    <w:p>
      <w:pPr>
        <w:ind w:firstLine="560"/>
        <w:rPr>
          <w:color w:val="auto"/>
        </w:rPr>
      </w:pPr>
      <w:r>
        <w:rPr>
          <w:rFonts w:hint="eastAsia"/>
          <w:color w:val="auto"/>
        </w:rPr>
        <w:t>目前</w:t>
      </w:r>
      <w:r>
        <w:rPr>
          <w:color w:val="auto"/>
        </w:rPr>
        <w:t>，</w:t>
      </w:r>
      <w:r>
        <w:rPr>
          <w:rFonts w:hint="eastAsia"/>
          <w:color w:val="auto"/>
        </w:rPr>
        <w:t>咸宁高新区内多数企业产品</w:t>
      </w:r>
      <w:r>
        <w:rPr>
          <w:color w:val="auto"/>
        </w:rPr>
        <w:t>尚无相关的单位产品能耗限额标准，</w:t>
      </w:r>
      <w:r>
        <w:rPr>
          <w:rFonts w:hint="eastAsia"/>
          <w:color w:val="auto"/>
        </w:rPr>
        <w:t>结合《上海产业能效指南（2018年版）》、《全国工业能效指南（2014年版）》及</w:t>
      </w:r>
      <w:r>
        <w:rPr>
          <w:color w:val="auto"/>
        </w:rPr>
        <w:t>国家和地方</w:t>
      </w:r>
      <w:r>
        <w:rPr>
          <w:rFonts w:hint="eastAsia"/>
          <w:color w:val="auto"/>
        </w:rPr>
        <w:t>已颁布实施的强制性能耗标准，主要针对咸宁</w:t>
      </w:r>
      <w:r>
        <w:rPr>
          <w:color w:val="auto"/>
        </w:rPr>
        <w:t>高新区</w:t>
      </w:r>
      <w:r>
        <w:rPr>
          <w:rFonts w:hint="eastAsia"/>
          <w:color w:val="auto"/>
        </w:rPr>
        <w:t>玻璃及</w:t>
      </w:r>
      <w:r>
        <w:rPr>
          <w:color w:val="auto"/>
        </w:rPr>
        <w:t>饮料制造</w:t>
      </w:r>
      <w:r>
        <w:rPr>
          <w:rFonts w:hint="eastAsia"/>
          <w:color w:val="auto"/>
        </w:rPr>
        <w:t>两大</w:t>
      </w:r>
      <w:r>
        <w:rPr>
          <w:color w:val="auto"/>
        </w:rPr>
        <w:t>主要耗能</w:t>
      </w:r>
      <w:r>
        <w:rPr>
          <w:rFonts w:hint="eastAsia"/>
          <w:color w:val="auto"/>
        </w:rPr>
        <w:t>行业的物理能效指标进行分析评价。</w:t>
      </w:r>
    </w:p>
    <w:p>
      <w:pPr>
        <w:pStyle w:val="4"/>
        <w:ind w:firstLine="602"/>
        <w:rPr>
          <w:color w:val="auto"/>
        </w:rPr>
      </w:pPr>
      <w:bookmarkStart w:id="45" w:name="_Toc40625180"/>
      <w:r>
        <w:rPr>
          <w:rFonts w:hint="eastAsia"/>
          <w:color w:val="auto"/>
        </w:rPr>
        <w:t>5.2.1玻璃制造</w:t>
      </w:r>
      <w:bookmarkEnd w:id="45"/>
    </w:p>
    <w:p>
      <w:pPr>
        <w:ind w:firstLine="560"/>
        <w:rPr>
          <w:color w:val="auto"/>
        </w:rPr>
      </w:pPr>
      <w:r>
        <w:rPr>
          <w:rFonts w:hint="eastAsia"/>
          <w:color w:val="auto"/>
        </w:rPr>
        <w:t>区内</w:t>
      </w:r>
      <w:r>
        <w:rPr>
          <w:color w:val="auto"/>
        </w:rPr>
        <w:t>玻璃</w:t>
      </w:r>
      <w:r>
        <w:rPr>
          <w:rFonts w:hint="eastAsia"/>
          <w:color w:val="auto"/>
        </w:rPr>
        <w:t>制造</w:t>
      </w:r>
      <w:r>
        <w:rPr>
          <w:color w:val="auto"/>
        </w:rPr>
        <w:t>企业主要为</w:t>
      </w:r>
      <w:r>
        <w:rPr>
          <w:rFonts w:hint="eastAsia"/>
          <w:color w:val="auto"/>
        </w:rPr>
        <w:t>咸宁南玻光电玻璃有限公司、咸宁南玻玻璃有限公司、咸宁南玻节能玻璃有限公司三家</w:t>
      </w:r>
      <w:r>
        <w:rPr>
          <w:color w:val="auto"/>
        </w:rPr>
        <w:t>企业。</w:t>
      </w:r>
    </w:p>
    <w:p>
      <w:pPr>
        <w:ind w:firstLine="560"/>
        <w:rPr>
          <w:color w:val="auto"/>
        </w:rPr>
      </w:pPr>
      <w:r>
        <w:rPr>
          <w:rFonts w:hint="eastAsia"/>
          <w:color w:val="auto"/>
        </w:rPr>
        <w:t>根据《玻璃和铸石单位产品能源消耗限额》（GB</w:t>
      </w:r>
      <w:r>
        <w:rPr>
          <w:color w:val="auto"/>
        </w:rPr>
        <w:t xml:space="preserve"> 21340</w:t>
      </w:r>
      <w:r>
        <w:rPr>
          <w:rFonts w:hint="eastAsia"/>
          <w:color w:val="auto"/>
        </w:rPr>
        <w:t>-</w:t>
      </w:r>
      <w:r>
        <w:rPr>
          <w:color w:val="auto"/>
        </w:rPr>
        <w:t>2019</w:t>
      </w:r>
      <w:r>
        <w:rPr>
          <w:rFonts w:hint="eastAsia"/>
          <w:color w:val="auto"/>
        </w:rPr>
        <w:t>），区内玻璃生产主要产品能耗限额标准如下表所示：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5</w:t>
      </w:r>
      <w:r>
        <w:rPr>
          <w:color w:val="auto"/>
        </w:rPr>
        <w:fldChar w:fldCharType="end"/>
      </w:r>
      <w:r>
        <w:rPr>
          <w:color w:val="auto"/>
        </w:rPr>
        <w:t xml:space="preserve"> </w:t>
      </w:r>
      <w:r>
        <w:rPr>
          <w:rFonts w:hint="eastAsia"/>
          <w:color w:val="auto"/>
        </w:rPr>
        <w:t>平板玻璃单位</w:t>
      </w:r>
      <w:r>
        <w:rPr>
          <w:color w:val="auto"/>
        </w:rPr>
        <w:t>产品能耗</w:t>
      </w:r>
      <w:r>
        <w:rPr>
          <w:rFonts w:hint="eastAsia"/>
          <w:color w:val="auto"/>
        </w:rPr>
        <w:t>限额等级</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42"/>
        <w:gridCol w:w="3189"/>
        <w:gridCol w:w="3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Align w:val="center"/>
          </w:tcPr>
          <w:p>
            <w:pPr>
              <w:spacing w:line="240" w:lineRule="auto"/>
              <w:ind w:firstLine="0" w:firstLineChars="0"/>
              <w:jc w:val="center"/>
              <w:rPr>
                <w:b/>
                <w:color w:val="auto"/>
                <w:sz w:val="24"/>
              </w:rPr>
            </w:pPr>
            <w:r>
              <w:rPr>
                <w:rFonts w:hint="eastAsia"/>
                <w:b/>
                <w:color w:val="auto"/>
                <w:sz w:val="24"/>
              </w:rPr>
              <w:t>能耗</w:t>
            </w:r>
            <w:r>
              <w:rPr>
                <w:b/>
                <w:color w:val="auto"/>
                <w:sz w:val="24"/>
              </w:rPr>
              <w:t>限额等级</w:t>
            </w:r>
          </w:p>
        </w:tc>
        <w:tc>
          <w:tcPr>
            <w:tcW w:w="3189" w:type="dxa"/>
            <w:vAlign w:val="center"/>
          </w:tcPr>
          <w:p>
            <w:pPr>
              <w:spacing w:line="240" w:lineRule="auto"/>
              <w:ind w:firstLine="0" w:firstLineChars="0"/>
              <w:jc w:val="center"/>
              <w:rPr>
                <w:b/>
                <w:color w:val="auto"/>
                <w:sz w:val="24"/>
              </w:rPr>
            </w:pPr>
            <w:r>
              <w:rPr>
                <w:rFonts w:hint="eastAsia"/>
                <w:b/>
                <w:color w:val="auto"/>
                <w:sz w:val="24"/>
              </w:rPr>
              <w:t>生产线</w:t>
            </w:r>
            <w:r>
              <w:rPr>
                <w:b/>
                <w:color w:val="auto"/>
                <w:sz w:val="24"/>
              </w:rPr>
              <w:t>设计生产能力</w:t>
            </w:r>
          </w:p>
          <w:p>
            <w:pPr>
              <w:spacing w:line="240" w:lineRule="auto"/>
              <w:ind w:firstLine="0" w:firstLineChars="0"/>
              <w:jc w:val="center"/>
              <w:rPr>
                <w:b/>
                <w:color w:val="auto"/>
                <w:sz w:val="24"/>
              </w:rPr>
            </w:pPr>
            <w:r>
              <w:rPr>
                <w:b/>
                <w:color w:val="auto"/>
                <w:sz w:val="24"/>
              </w:rPr>
              <w:t>t/d</w:t>
            </w:r>
          </w:p>
        </w:tc>
        <w:tc>
          <w:tcPr>
            <w:tcW w:w="3189" w:type="dxa"/>
            <w:vAlign w:val="center"/>
          </w:tcPr>
          <w:p>
            <w:pPr>
              <w:spacing w:line="240" w:lineRule="auto"/>
              <w:ind w:firstLine="0" w:firstLineChars="0"/>
              <w:jc w:val="center"/>
              <w:rPr>
                <w:b/>
                <w:color w:val="auto"/>
                <w:sz w:val="24"/>
              </w:rPr>
            </w:pPr>
            <w:r>
              <w:rPr>
                <w:rFonts w:hint="eastAsia"/>
                <w:b/>
                <w:color w:val="auto"/>
                <w:sz w:val="24"/>
              </w:rPr>
              <w:t>单位产品</w:t>
            </w:r>
            <w:r>
              <w:rPr>
                <w:b/>
                <w:color w:val="auto"/>
                <w:sz w:val="24"/>
              </w:rPr>
              <w:t>能耗限定值</w:t>
            </w:r>
          </w:p>
          <w:p>
            <w:pPr>
              <w:spacing w:line="240" w:lineRule="auto"/>
              <w:ind w:firstLine="0" w:firstLineChars="0"/>
              <w:jc w:val="center"/>
              <w:rPr>
                <w:b/>
                <w:color w:val="auto"/>
                <w:sz w:val="24"/>
              </w:rPr>
            </w:pPr>
            <w:r>
              <w:rPr>
                <w:b/>
                <w:color w:val="auto"/>
                <w:sz w:val="24"/>
              </w:rPr>
              <w:t>kgce/</w:t>
            </w:r>
            <w:r>
              <w:rPr>
                <w:rFonts w:hint="eastAsia"/>
                <w:b/>
                <w:color w:val="auto"/>
                <w:sz w:val="24"/>
              </w:rPr>
              <w:t>重量</w:t>
            </w:r>
            <w:r>
              <w:rPr>
                <w:b/>
                <w:color w:val="auto"/>
                <w:sz w:val="24"/>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restart"/>
            <w:vAlign w:val="center"/>
          </w:tcPr>
          <w:p>
            <w:pPr>
              <w:spacing w:line="240" w:lineRule="auto"/>
              <w:ind w:firstLine="0" w:firstLineChars="0"/>
              <w:jc w:val="center"/>
              <w:rPr>
                <w:color w:val="auto"/>
                <w:sz w:val="24"/>
              </w:rPr>
            </w:pPr>
            <w:r>
              <w:rPr>
                <w:rFonts w:hint="eastAsia"/>
                <w:color w:val="auto"/>
                <w:sz w:val="24"/>
              </w:rPr>
              <w:t>1</w:t>
            </w:r>
          </w:p>
        </w:tc>
        <w:tc>
          <w:tcPr>
            <w:tcW w:w="3189" w:type="dxa"/>
            <w:vAlign w:val="center"/>
          </w:tcPr>
          <w:p>
            <w:pPr>
              <w:spacing w:line="240" w:lineRule="auto"/>
              <w:ind w:firstLine="0" w:firstLineChars="0"/>
              <w:jc w:val="center"/>
              <w:rPr>
                <w:color w:val="auto"/>
                <w:sz w:val="24"/>
              </w:rPr>
            </w:pPr>
            <w:r>
              <w:rPr>
                <w:rFonts w:hint="eastAsia"/>
                <w:color w:val="auto"/>
                <w:sz w:val="24"/>
              </w:rPr>
              <w:t>≥500</w:t>
            </w:r>
          </w:p>
          <w:p>
            <w:pPr>
              <w:spacing w:line="240" w:lineRule="auto"/>
              <w:ind w:firstLine="0" w:firstLineChars="0"/>
              <w:jc w:val="center"/>
              <w:rPr>
                <w:color w:val="auto"/>
                <w:sz w:val="24"/>
              </w:rPr>
            </w:pPr>
            <w:r>
              <w:rPr>
                <w:rFonts w:asciiTheme="minorEastAsia" w:hAnsiTheme="minorEastAsia" w:eastAsiaTheme="minorEastAsia"/>
                <w:color w:val="auto"/>
                <w:sz w:val="24"/>
              </w:rPr>
              <w:t>≤</w:t>
            </w:r>
            <w:r>
              <w:rPr>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continue"/>
            <w:vAlign w:val="center"/>
          </w:tcPr>
          <w:p>
            <w:pPr>
              <w:spacing w:line="240" w:lineRule="auto"/>
              <w:ind w:firstLine="0" w:firstLineChars="0"/>
              <w:jc w:val="center"/>
              <w:rPr>
                <w:color w:val="auto"/>
                <w:sz w:val="24"/>
              </w:rPr>
            </w:pPr>
          </w:p>
        </w:tc>
        <w:tc>
          <w:tcPr>
            <w:tcW w:w="3189" w:type="dxa"/>
            <w:vAlign w:val="center"/>
          </w:tcPr>
          <w:p>
            <w:pPr>
              <w:spacing w:line="240" w:lineRule="auto"/>
              <w:ind w:firstLine="0" w:firstLineChars="0"/>
              <w:jc w:val="center"/>
              <w:rPr>
                <w:color w:val="auto"/>
                <w:sz w:val="24"/>
              </w:rPr>
            </w:pPr>
            <w:r>
              <w:rPr>
                <w:rFonts w:hint="eastAsia"/>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restart"/>
            <w:vAlign w:val="center"/>
          </w:tcPr>
          <w:p>
            <w:pPr>
              <w:spacing w:line="240" w:lineRule="auto"/>
              <w:ind w:firstLine="0" w:firstLineChars="0"/>
              <w:jc w:val="center"/>
              <w:rPr>
                <w:color w:val="auto"/>
                <w:sz w:val="24"/>
              </w:rPr>
            </w:pPr>
            <w:r>
              <w:rPr>
                <w:rFonts w:hint="eastAsia"/>
                <w:color w:val="auto"/>
                <w:sz w:val="24"/>
              </w:rPr>
              <w:t>2</w:t>
            </w:r>
          </w:p>
        </w:tc>
        <w:tc>
          <w:tcPr>
            <w:tcW w:w="3189" w:type="dxa"/>
            <w:vAlign w:val="center"/>
          </w:tcPr>
          <w:p>
            <w:pPr>
              <w:spacing w:line="240" w:lineRule="auto"/>
              <w:ind w:firstLine="0" w:firstLineChars="0"/>
              <w:jc w:val="center"/>
              <w:rPr>
                <w:color w:val="auto"/>
                <w:sz w:val="24"/>
              </w:rPr>
            </w:pPr>
            <w:r>
              <w:rPr>
                <w:rFonts w:hint="eastAsia"/>
                <w:color w:val="auto"/>
                <w:sz w:val="24"/>
              </w:rPr>
              <w:t>≥500</w:t>
            </w:r>
          </w:p>
          <w:p>
            <w:pPr>
              <w:spacing w:line="240" w:lineRule="auto"/>
              <w:ind w:firstLine="0" w:firstLineChars="0"/>
              <w:jc w:val="center"/>
              <w:rPr>
                <w:color w:val="auto"/>
                <w:sz w:val="24"/>
              </w:rPr>
            </w:pPr>
            <w:r>
              <w:rPr>
                <w:rFonts w:asciiTheme="minorEastAsia" w:hAnsiTheme="minorEastAsia" w:eastAsiaTheme="minorEastAsia"/>
                <w:color w:val="auto"/>
                <w:sz w:val="24"/>
              </w:rPr>
              <w:t>≤</w:t>
            </w:r>
            <w:r>
              <w:rPr>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11.</w:t>
            </w:r>
            <w:r>
              <w:rPr>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continue"/>
            <w:vAlign w:val="center"/>
          </w:tcPr>
          <w:p>
            <w:pPr>
              <w:spacing w:line="240" w:lineRule="auto"/>
              <w:ind w:firstLine="0" w:firstLineChars="0"/>
              <w:jc w:val="center"/>
              <w:rPr>
                <w:color w:val="auto"/>
                <w:sz w:val="24"/>
              </w:rPr>
            </w:pPr>
          </w:p>
        </w:tc>
        <w:tc>
          <w:tcPr>
            <w:tcW w:w="3189" w:type="dxa"/>
            <w:vAlign w:val="center"/>
          </w:tcPr>
          <w:p>
            <w:pPr>
              <w:spacing w:line="240" w:lineRule="auto"/>
              <w:ind w:firstLine="0" w:firstLineChars="0"/>
              <w:jc w:val="center"/>
              <w:rPr>
                <w:color w:val="auto"/>
                <w:sz w:val="24"/>
              </w:rPr>
            </w:pPr>
            <w:r>
              <w:rPr>
                <w:rFonts w:hint="eastAsia"/>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1</w:t>
            </w:r>
            <w:r>
              <w:rPr>
                <w:color w:val="auto"/>
                <w:sz w:val="24"/>
              </w:rPr>
              <w:t>0</w:t>
            </w:r>
            <w:r>
              <w:rPr>
                <w:rFonts w:hint="eastAsia"/>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restart"/>
            <w:vAlign w:val="center"/>
          </w:tcPr>
          <w:p>
            <w:pPr>
              <w:spacing w:line="240" w:lineRule="auto"/>
              <w:ind w:firstLine="0" w:firstLineChars="0"/>
              <w:jc w:val="center"/>
              <w:rPr>
                <w:color w:val="auto"/>
                <w:sz w:val="24"/>
              </w:rPr>
            </w:pPr>
            <w:r>
              <w:rPr>
                <w:rFonts w:hint="eastAsia"/>
                <w:color w:val="auto"/>
                <w:sz w:val="24"/>
              </w:rPr>
              <w:t>3</w:t>
            </w:r>
          </w:p>
        </w:tc>
        <w:tc>
          <w:tcPr>
            <w:tcW w:w="3189" w:type="dxa"/>
            <w:vAlign w:val="center"/>
          </w:tcPr>
          <w:p>
            <w:pPr>
              <w:spacing w:line="240" w:lineRule="auto"/>
              <w:ind w:firstLine="0" w:firstLineChars="0"/>
              <w:jc w:val="center"/>
              <w:rPr>
                <w:color w:val="auto"/>
                <w:sz w:val="24"/>
              </w:rPr>
            </w:pPr>
            <w:r>
              <w:rPr>
                <w:rFonts w:asciiTheme="minorEastAsia" w:hAnsiTheme="minorEastAsia" w:eastAsiaTheme="minorEastAsia"/>
                <w:color w:val="auto"/>
                <w:sz w:val="24"/>
              </w:rPr>
              <w:t>≤</w:t>
            </w:r>
            <w:r>
              <w:rPr>
                <w:color w:val="auto"/>
                <w:sz w:val="24"/>
              </w:rPr>
              <w:t>500</w:t>
            </w:r>
          </w:p>
        </w:tc>
        <w:tc>
          <w:tcPr>
            <w:tcW w:w="3189" w:type="dxa"/>
            <w:vAlign w:val="center"/>
          </w:tcPr>
          <w:p>
            <w:pPr>
              <w:spacing w:line="240" w:lineRule="auto"/>
              <w:ind w:firstLine="0" w:firstLineChars="0"/>
              <w:jc w:val="center"/>
              <w:rPr>
                <w:color w:val="auto"/>
                <w:sz w:val="24"/>
              </w:rPr>
            </w:pPr>
            <w:r>
              <w:rPr>
                <w:rFonts w:hint="eastAsia"/>
                <w:color w:val="auto"/>
                <w:sz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continue"/>
            <w:vAlign w:val="center"/>
          </w:tcPr>
          <w:p>
            <w:pPr>
              <w:spacing w:line="240" w:lineRule="auto"/>
              <w:ind w:firstLine="0" w:firstLineChars="0"/>
              <w:jc w:val="center"/>
              <w:rPr>
                <w:color w:val="auto"/>
                <w:sz w:val="24"/>
              </w:rPr>
            </w:pPr>
          </w:p>
        </w:tc>
        <w:tc>
          <w:tcPr>
            <w:tcW w:w="3189" w:type="dxa"/>
            <w:vAlign w:val="center"/>
          </w:tcPr>
          <w:p>
            <w:pPr>
              <w:spacing w:line="240" w:lineRule="auto"/>
              <w:ind w:firstLine="0" w:firstLineChars="0"/>
              <w:jc w:val="center"/>
              <w:rPr>
                <w:color w:val="auto"/>
                <w:sz w:val="24"/>
              </w:rPr>
            </w:pPr>
            <w:r>
              <w:rPr>
                <w:rFonts w:hint="eastAsia"/>
                <w:color w:val="auto"/>
                <w:sz w:val="24"/>
              </w:rPr>
              <w:t>＞500</w:t>
            </w:r>
          </w:p>
          <w:p>
            <w:pPr>
              <w:spacing w:line="240" w:lineRule="auto"/>
              <w:ind w:firstLine="0" w:firstLineChars="0"/>
              <w:jc w:val="center"/>
              <w:rPr>
                <w:color w:val="auto"/>
                <w:sz w:val="24"/>
              </w:rPr>
            </w:pPr>
            <w:r>
              <w:rPr>
                <w:rFonts w:asciiTheme="minorEastAsia" w:hAnsiTheme="minorEastAsia" w:eastAsiaTheme="minorEastAsia"/>
                <w:color w:val="auto"/>
                <w:sz w:val="24"/>
              </w:rPr>
              <w:t>≤</w:t>
            </w:r>
            <w:r>
              <w:rPr>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Merge w:val="continue"/>
            <w:vAlign w:val="center"/>
          </w:tcPr>
          <w:p>
            <w:pPr>
              <w:spacing w:line="240" w:lineRule="auto"/>
              <w:ind w:firstLine="0" w:firstLineChars="0"/>
              <w:jc w:val="center"/>
              <w:rPr>
                <w:color w:val="auto"/>
                <w:sz w:val="24"/>
              </w:rPr>
            </w:pPr>
          </w:p>
        </w:tc>
        <w:tc>
          <w:tcPr>
            <w:tcW w:w="3189" w:type="dxa"/>
            <w:vAlign w:val="center"/>
          </w:tcPr>
          <w:p>
            <w:pPr>
              <w:spacing w:line="240" w:lineRule="auto"/>
              <w:ind w:firstLine="0" w:firstLineChars="0"/>
              <w:jc w:val="center"/>
              <w:rPr>
                <w:color w:val="auto"/>
                <w:sz w:val="24"/>
              </w:rPr>
            </w:pPr>
            <w:r>
              <w:rPr>
                <w:rFonts w:hint="eastAsia"/>
                <w:color w:val="auto"/>
                <w:sz w:val="24"/>
              </w:rPr>
              <w:t>＞800</w:t>
            </w:r>
          </w:p>
        </w:tc>
        <w:tc>
          <w:tcPr>
            <w:tcW w:w="3189" w:type="dxa"/>
            <w:vAlign w:val="center"/>
          </w:tcPr>
          <w:p>
            <w:pPr>
              <w:spacing w:line="240" w:lineRule="auto"/>
              <w:ind w:firstLine="0" w:firstLineChars="0"/>
              <w:jc w:val="center"/>
              <w:rPr>
                <w:color w:val="auto"/>
                <w:sz w:val="24"/>
              </w:rPr>
            </w:pPr>
            <w:r>
              <w:rPr>
                <w:rFonts w:hint="eastAsia"/>
                <w:color w:val="auto"/>
                <w:sz w:val="24"/>
              </w:rPr>
              <w:t>12.0</w:t>
            </w:r>
          </w:p>
        </w:tc>
      </w:tr>
    </w:tbl>
    <w:p>
      <w:pPr>
        <w:spacing w:after="190" w:afterLines="50" w:line="240" w:lineRule="auto"/>
        <w:ind w:firstLine="0" w:firstLineChars="0"/>
        <w:rPr>
          <w:color w:val="auto"/>
          <w:sz w:val="21"/>
        </w:rPr>
      </w:pPr>
      <w:r>
        <w:rPr>
          <w:rFonts w:hint="eastAsia"/>
          <w:color w:val="auto"/>
          <w:sz w:val="21"/>
        </w:rPr>
        <w:t>注：</w:t>
      </w:r>
      <w:r>
        <w:rPr>
          <w:color w:val="auto"/>
          <w:sz w:val="21"/>
        </w:rPr>
        <w:t>表中</w:t>
      </w:r>
      <w:r>
        <w:rPr>
          <w:rFonts w:hint="eastAsia"/>
          <w:color w:val="auto"/>
          <w:sz w:val="21"/>
        </w:rPr>
        <w:t>500</w:t>
      </w:r>
      <w:r>
        <w:rPr>
          <w:color w:val="auto"/>
          <w:sz w:val="21"/>
        </w:rPr>
        <w:t>t/d、</w:t>
      </w:r>
      <w:r>
        <w:rPr>
          <w:rFonts w:hint="eastAsia"/>
          <w:color w:val="auto"/>
          <w:sz w:val="21"/>
        </w:rPr>
        <w:t>800</w:t>
      </w:r>
      <w:r>
        <w:rPr>
          <w:color w:val="auto"/>
          <w:sz w:val="21"/>
        </w:rPr>
        <w:t>t/d指</w:t>
      </w:r>
      <w:r>
        <w:rPr>
          <w:rFonts w:hint="eastAsia"/>
          <w:color w:val="auto"/>
          <w:sz w:val="21"/>
        </w:rPr>
        <w:t>熔</w:t>
      </w:r>
      <w:r>
        <w:rPr>
          <w:color w:val="auto"/>
          <w:sz w:val="21"/>
        </w:rPr>
        <w:t>窑</w:t>
      </w:r>
      <w:r>
        <w:rPr>
          <w:rFonts w:hint="eastAsia"/>
          <w:color w:val="auto"/>
          <w:sz w:val="21"/>
        </w:rPr>
        <w:t>设计</w:t>
      </w:r>
      <w:r>
        <w:rPr>
          <w:color w:val="auto"/>
          <w:sz w:val="21"/>
        </w:rPr>
        <w:t>日</w:t>
      </w:r>
      <w:r>
        <w:rPr>
          <w:rFonts w:hint="eastAsia"/>
          <w:color w:val="auto"/>
          <w:sz w:val="21"/>
        </w:rPr>
        <w:t>熔化</w:t>
      </w:r>
      <w:r>
        <w:rPr>
          <w:color w:val="auto"/>
          <w:sz w:val="21"/>
        </w:rPr>
        <w:t>玻璃液</w:t>
      </w:r>
      <w:r>
        <w:rPr>
          <w:rFonts w:hint="eastAsia"/>
          <w:color w:val="auto"/>
          <w:sz w:val="21"/>
        </w:rPr>
        <w:t>量</w:t>
      </w:r>
      <w:r>
        <w:rPr>
          <w:color w:val="auto"/>
          <w:sz w:val="21"/>
        </w:rPr>
        <w:t>（</w:t>
      </w:r>
      <w:r>
        <w:rPr>
          <w:rFonts w:hint="eastAsia"/>
          <w:color w:val="auto"/>
          <w:sz w:val="21"/>
        </w:rPr>
        <w:t>不</w:t>
      </w:r>
      <w:r>
        <w:rPr>
          <w:color w:val="auto"/>
          <w:sz w:val="21"/>
        </w:rPr>
        <w:t>包括全氧</w:t>
      </w:r>
      <w:r>
        <w:rPr>
          <w:rFonts w:hint="eastAsia"/>
          <w:color w:val="auto"/>
          <w:sz w:val="21"/>
        </w:rPr>
        <w:t>燃烧</w:t>
      </w:r>
      <w:r>
        <w:rPr>
          <w:color w:val="auto"/>
          <w:sz w:val="21"/>
        </w:rPr>
        <w:t>的玻璃熔窑）</w:t>
      </w:r>
    </w:p>
    <w:p>
      <w:pPr>
        <w:spacing w:after="190" w:afterLines="50" w:line="240" w:lineRule="auto"/>
        <w:ind w:firstLine="0" w:firstLineChars="0"/>
        <w:rPr>
          <w:color w:val="auto"/>
          <w:sz w:val="21"/>
        </w:rPr>
      </w:pP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6</w:t>
      </w:r>
      <w:r>
        <w:rPr>
          <w:color w:val="auto"/>
        </w:rPr>
        <w:fldChar w:fldCharType="end"/>
      </w:r>
      <w:r>
        <w:rPr>
          <w:color w:val="auto"/>
        </w:rPr>
        <w:t xml:space="preserve"> </w:t>
      </w:r>
      <w:r>
        <w:rPr>
          <w:rFonts w:hint="eastAsia"/>
          <w:color w:val="auto"/>
        </w:rPr>
        <w:t>钢化玻璃单位产品能耗限额等级</w:t>
      </w:r>
    </w:p>
    <w:tbl>
      <w:tblPr>
        <w:tblStyle w:val="24"/>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1"/>
        <w:gridCol w:w="1305"/>
        <w:gridCol w:w="718"/>
        <w:gridCol w:w="718"/>
        <w:gridCol w:w="718"/>
        <w:gridCol w:w="718"/>
        <w:gridCol w:w="718"/>
        <w:gridCol w:w="718"/>
        <w:gridCol w:w="718"/>
        <w:gridCol w:w="718"/>
        <w:gridCol w:w="647"/>
        <w:gridCol w:w="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1" w:type="dxa"/>
          <w:trHeight w:val="454" w:hRule="atLeast"/>
        </w:trPr>
        <w:tc>
          <w:tcPr>
            <w:tcW w:w="671" w:type="dxa"/>
            <w:vMerge w:val="restart"/>
            <w:vAlign w:val="center"/>
          </w:tcPr>
          <w:p>
            <w:pPr>
              <w:spacing w:line="240" w:lineRule="auto"/>
              <w:ind w:firstLine="0" w:firstLineChars="0"/>
              <w:jc w:val="center"/>
              <w:rPr>
                <w:b/>
                <w:color w:val="auto"/>
                <w:sz w:val="24"/>
                <w:szCs w:val="24"/>
              </w:rPr>
            </w:pPr>
            <w:r>
              <w:rPr>
                <w:rFonts w:hint="eastAsia"/>
                <w:b/>
                <w:color w:val="auto"/>
                <w:sz w:val="24"/>
                <w:szCs w:val="24"/>
              </w:rPr>
              <w:t>能耗</w:t>
            </w:r>
            <w:r>
              <w:rPr>
                <w:b/>
                <w:color w:val="auto"/>
                <w:sz w:val="24"/>
                <w:szCs w:val="24"/>
              </w:rPr>
              <w:t>限额等级</w:t>
            </w:r>
          </w:p>
        </w:tc>
        <w:tc>
          <w:tcPr>
            <w:tcW w:w="1305" w:type="dxa"/>
            <w:vMerge w:val="restart"/>
            <w:vAlign w:val="center"/>
          </w:tcPr>
          <w:p>
            <w:pPr>
              <w:spacing w:line="240" w:lineRule="auto"/>
              <w:ind w:firstLine="0" w:firstLineChars="0"/>
              <w:jc w:val="center"/>
              <w:rPr>
                <w:b/>
                <w:color w:val="auto"/>
                <w:sz w:val="24"/>
                <w:szCs w:val="24"/>
              </w:rPr>
            </w:pPr>
            <w:r>
              <w:rPr>
                <w:rFonts w:hint="eastAsia"/>
                <w:b/>
                <w:color w:val="auto"/>
                <w:sz w:val="24"/>
                <w:szCs w:val="24"/>
              </w:rPr>
              <w:t>玻璃种类</w:t>
            </w:r>
          </w:p>
        </w:tc>
        <w:tc>
          <w:tcPr>
            <w:tcW w:w="6391" w:type="dxa"/>
            <w:gridSpan w:val="9"/>
            <w:vAlign w:val="center"/>
          </w:tcPr>
          <w:p>
            <w:pPr>
              <w:spacing w:line="240" w:lineRule="auto"/>
              <w:ind w:firstLine="0" w:firstLineChars="0"/>
              <w:jc w:val="center"/>
              <w:rPr>
                <w:b/>
                <w:color w:val="auto"/>
                <w:sz w:val="24"/>
                <w:szCs w:val="24"/>
              </w:rPr>
            </w:pPr>
            <w:r>
              <w:rPr>
                <w:rFonts w:hint="eastAsia"/>
                <w:b/>
                <w:color w:val="auto"/>
                <w:sz w:val="24"/>
                <w:szCs w:val="24"/>
              </w:rPr>
              <w:t>单位</w:t>
            </w:r>
            <w:r>
              <w:rPr>
                <w:b/>
                <w:color w:val="auto"/>
                <w:sz w:val="24"/>
                <w:szCs w:val="24"/>
              </w:rPr>
              <w:t>产品能耗限定值kW·h/m</w:t>
            </w:r>
            <w:r>
              <w:rPr>
                <w:b/>
                <w:color w:val="auto"/>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1" w:type="dxa"/>
          <w:trHeight w:val="454" w:hRule="atLeast"/>
        </w:trPr>
        <w:tc>
          <w:tcPr>
            <w:tcW w:w="671" w:type="dxa"/>
            <w:vMerge w:val="continue"/>
            <w:vAlign w:val="center"/>
          </w:tcPr>
          <w:p>
            <w:pPr>
              <w:spacing w:line="240" w:lineRule="auto"/>
              <w:ind w:firstLine="0" w:firstLineChars="0"/>
              <w:jc w:val="center"/>
              <w:rPr>
                <w:b/>
                <w:color w:val="auto"/>
                <w:sz w:val="24"/>
                <w:szCs w:val="24"/>
              </w:rPr>
            </w:pPr>
          </w:p>
        </w:tc>
        <w:tc>
          <w:tcPr>
            <w:tcW w:w="1305" w:type="dxa"/>
            <w:vMerge w:val="continue"/>
            <w:vAlign w:val="center"/>
          </w:tcPr>
          <w:p>
            <w:pPr>
              <w:spacing w:line="240" w:lineRule="auto"/>
              <w:ind w:firstLine="0" w:firstLineChars="0"/>
              <w:jc w:val="center"/>
              <w:rPr>
                <w:b/>
                <w:color w:val="auto"/>
                <w:sz w:val="24"/>
                <w:szCs w:val="24"/>
              </w:rPr>
            </w:pPr>
          </w:p>
        </w:tc>
        <w:tc>
          <w:tcPr>
            <w:tcW w:w="6391" w:type="dxa"/>
            <w:gridSpan w:val="9"/>
            <w:vAlign w:val="center"/>
          </w:tcPr>
          <w:p>
            <w:pPr>
              <w:spacing w:line="240" w:lineRule="auto"/>
              <w:ind w:firstLine="0" w:firstLineChars="0"/>
              <w:jc w:val="center"/>
              <w:rPr>
                <w:b/>
                <w:color w:val="auto"/>
                <w:sz w:val="24"/>
                <w:szCs w:val="24"/>
              </w:rPr>
            </w:pPr>
            <w:r>
              <w:rPr>
                <w:rFonts w:hint="eastAsia"/>
                <w:b/>
                <w:color w:val="auto"/>
                <w:sz w:val="24"/>
                <w:szCs w:val="24"/>
              </w:rPr>
              <w:t>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b/>
                <w:color w:val="auto"/>
                <w:sz w:val="24"/>
                <w:szCs w:val="24"/>
              </w:rPr>
            </w:pPr>
          </w:p>
        </w:tc>
        <w:tc>
          <w:tcPr>
            <w:tcW w:w="1305" w:type="dxa"/>
            <w:vMerge w:val="continue"/>
            <w:vAlign w:val="center"/>
          </w:tcPr>
          <w:p>
            <w:pPr>
              <w:spacing w:line="240" w:lineRule="auto"/>
              <w:ind w:firstLine="0" w:firstLineChars="0"/>
              <w:jc w:val="center"/>
              <w:rPr>
                <w:b/>
                <w:color w:val="auto"/>
                <w:sz w:val="24"/>
                <w:szCs w:val="24"/>
              </w:rPr>
            </w:pPr>
          </w:p>
        </w:tc>
        <w:tc>
          <w:tcPr>
            <w:tcW w:w="718" w:type="dxa"/>
            <w:vAlign w:val="center"/>
          </w:tcPr>
          <w:p>
            <w:pPr>
              <w:spacing w:line="240" w:lineRule="auto"/>
              <w:ind w:firstLine="0" w:firstLineChars="0"/>
              <w:jc w:val="center"/>
              <w:rPr>
                <w:b/>
                <w:color w:val="auto"/>
                <w:sz w:val="24"/>
                <w:szCs w:val="24"/>
              </w:rPr>
            </w:pPr>
            <w:r>
              <w:rPr>
                <w:rFonts w:hint="eastAsia"/>
                <w:b/>
                <w:color w:val="auto"/>
                <w:sz w:val="24"/>
                <w:szCs w:val="24"/>
              </w:rPr>
              <w:t>3</w:t>
            </w:r>
            <w:r>
              <w:rPr>
                <w:b/>
                <w:color w:val="auto"/>
                <w:sz w:val="24"/>
                <w:szCs w:val="24"/>
              </w:rPr>
              <w:t>mm</w:t>
            </w:r>
          </w:p>
        </w:tc>
        <w:tc>
          <w:tcPr>
            <w:tcW w:w="718" w:type="dxa"/>
            <w:vAlign w:val="center"/>
          </w:tcPr>
          <w:p>
            <w:pPr>
              <w:spacing w:line="240" w:lineRule="auto"/>
              <w:ind w:firstLine="0" w:firstLineChars="0"/>
              <w:jc w:val="center"/>
              <w:rPr>
                <w:b/>
                <w:color w:val="auto"/>
                <w:sz w:val="24"/>
                <w:szCs w:val="24"/>
              </w:rPr>
            </w:pPr>
            <w:r>
              <w:rPr>
                <w:rFonts w:hint="eastAsia"/>
                <w:b/>
                <w:color w:val="auto"/>
                <w:sz w:val="24"/>
                <w:szCs w:val="24"/>
              </w:rPr>
              <w:t>4</w:t>
            </w:r>
            <w:r>
              <w:rPr>
                <w:b/>
                <w:color w:val="auto"/>
                <w:sz w:val="24"/>
                <w:szCs w:val="24"/>
              </w:rPr>
              <w:t>mm</w:t>
            </w:r>
          </w:p>
        </w:tc>
        <w:tc>
          <w:tcPr>
            <w:tcW w:w="718" w:type="dxa"/>
            <w:vAlign w:val="center"/>
          </w:tcPr>
          <w:p>
            <w:pPr>
              <w:spacing w:line="240" w:lineRule="auto"/>
              <w:ind w:firstLine="0" w:firstLineChars="0"/>
              <w:jc w:val="center"/>
              <w:rPr>
                <w:b/>
                <w:color w:val="auto"/>
                <w:sz w:val="24"/>
                <w:szCs w:val="24"/>
              </w:rPr>
            </w:pPr>
            <w:r>
              <w:rPr>
                <w:b/>
                <w:color w:val="auto"/>
                <w:sz w:val="24"/>
                <w:szCs w:val="24"/>
              </w:rPr>
              <w:t>5mm</w:t>
            </w:r>
          </w:p>
        </w:tc>
        <w:tc>
          <w:tcPr>
            <w:tcW w:w="718" w:type="dxa"/>
            <w:vAlign w:val="center"/>
          </w:tcPr>
          <w:p>
            <w:pPr>
              <w:spacing w:line="240" w:lineRule="auto"/>
              <w:ind w:firstLine="0" w:firstLineChars="0"/>
              <w:jc w:val="center"/>
              <w:rPr>
                <w:b/>
                <w:color w:val="auto"/>
                <w:sz w:val="24"/>
                <w:szCs w:val="24"/>
              </w:rPr>
            </w:pPr>
            <w:r>
              <w:rPr>
                <w:b/>
                <w:color w:val="auto"/>
                <w:sz w:val="24"/>
                <w:szCs w:val="24"/>
              </w:rPr>
              <w:t>6mm</w:t>
            </w:r>
          </w:p>
        </w:tc>
        <w:tc>
          <w:tcPr>
            <w:tcW w:w="718" w:type="dxa"/>
            <w:vAlign w:val="center"/>
          </w:tcPr>
          <w:p>
            <w:pPr>
              <w:spacing w:line="240" w:lineRule="auto"/>
              <w:ind w:firstLine="0" w:firstLineChars="0"/>
              <w:jc w:val="center"/>
              <w:rPr>
                <w:b/>
                <w:color w:val="auto"/>
                <w:sz w:val="24"/>
                <w:szCs w:val="24"/>
              </w:rPr>
            </w:pPr>
            <w:r>
              <w:rPr>
                <w:b/>
                <w:color w:val="auto"/>
                <w:sz w:val="24"/>
                <w:szCs w:val="24"/>
              </w:rPr>
              <w:t>8mm</w:t>
            </w:r>
          </w:p>
        </w:tc>
        <w:tc>
          <w:tcPr>
            <w:tcW w:w="718" w:type="dxa"/>
            <w:vAlign w:val="center"/>
          </w:tcPr>
          <w:p>
            <w:pPr>
              <w:spacing w:line="240" w:lineRule="auto"/>
              <w:ind w:firstLine="0" w:firstLineChars="0"/>
              <w:jc w:val="center"/>
              <w:rPr>
                <w:b/>
                <w:color w:val="auto"/>
                <w:sz w:val="24"/>
                <w:szCs w:val="24"/>
              </w:rPr>
            </w:pPr>
            <w:r>
              <w:rPr>
                <w:b/>
                <w:color w:val="auto"/>
                <w:sz w:val="24"/>
                <w:szCs w:val="24"/>
              </w:rPr>
              <w:t>10mm</w:t>
            </w:r>
          </w:p>
        </w:tc>
        <w:tc>
          <w:tcPr>
            <w:tcW w:w="718" w:type="dxa"/>
            <w:vAlign w:val="center"/>
          </w:tcPr>
          <w:p>
            <w:pPr>
              <w:spacing w:line="240" w:lineRule="auto"/>
              <w:ind w:firstLine="0" w:firstLineChars="0"/>
              <w:jc w:val="center"/>
              <w:rPr>
                <w:b/>
                <w:color w:val="auto"/>
                <w:sz w:val="24"/>
                <w:szCs w:val="24"/>
              </w:rPr>
            </w:pPr>
            <w:r>
              <w:rPr>
                <w:b/>
                <w:color w:val="auto"/>
                <w:sz w:val="24"/>
                <w:szCs w:val="24"/>
              </w:rPr>
              <w:t>12mm</w:t>
            </w:r>
          </w:p>
        </w:tc>
        <w:tc>
          <w:tcPr>
            <w:tcW w:w="718" w:type="dxa"/>
            <w:vAlign w:val="center"/>
          </w:tcPr>
          <w:p>
            <w:pPr>
              <w:spacing w:line="240" w:lineRule="auto"/>
              <w:ind w:firstLine="0" w:firstLineChars="0"/>
              <w:jc w:val="center"/>
              <w:rPr>
                <w:b/>
                <w:color w:val="auto"/>
                <w:sz w:val="24"/>
                <w:szCs w:val="24"/>
              </w:rPr>
            </w:pPr>
            <w:r>
              <w:rPr>
                <w:b/>
                <w:color w:val="auto"/>
                <w:sz w:val="24"/>
                <w:szCs w:val="24"/>
              </w:rPr>
              <w:t>15mm</w:t>
            </w:r>
          </w:p>
        </w:tc>
        <w:tc>
          <w:tcPr>
            <w:tcW w:w="718" w:type="dxa"/>
            <w:gridSpan w:val="2"/>
            <w:vAlign w:val="center"/>
          </w:tcPr>
          <w:p>
            <w:pPr>
              <w:spacing w:line="240" w:lineRule="auto"/>
              <w:ind w:firstLine="0" w:firstLineChars="0"/>
              <w:jc w:val="center"/>
              <w:rPr>
                <w:b/>
                <w:color w:val="auto"/>
                <w:sz w:val="24"/>
                <w:szCs w:val="24"/>
              </w:rPr>
            </w:pPr>
            <w:r>
              <w:rPr>
                <w:b/>
                <w:color w:val="auto"/>
                <w:sz w:val="24"/>
                <w:szCs w:val="24"/>
              </w:rPr>
              <w:t>19mm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restart"/>
            <w:vAlign w:val="center"/>
          </w:tcPr>
          <w:p>
            <w:pPr>
              <w:spacing w:line="240" w:lineRule="auto"/>
              <w:ind w:firstLine="0" w:firstLineChars="0"/>
              <w:jc w:val="center"/>
              <w:rPr>
                <w:color w:val="auto"/>
                <w:sz w:val="24"/>
                <w:szCs w:val="24"/>
              </w:rPr>
            </w:pPr>
            <w:r>
              <w:rPr>
                <w:rFonts w:hint="eastAsia"/>
                <w:color w:val="auto"/>
                <w:sz w:val="24"/>
                <w:szCs w:val="24"/>
              </w:rPr>
              <w:t>1</w:t>
            </w: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平面</w:t>
            </w:r>
            <w:r>
              <w:rPr>
                <w:color w:val="auto"/>
                <w:sz w:val="18"/>
                <w:szCs w:val="18"/>
              </w:rPr>
              <w:t>普通玻璃</w:t>
            </w:r>
          </w:p>
        </w:tc>
        <w:tc>
          <w:tcPr>
            <w:tcW w:w="718" w:type="dxa"/>
            <w:vAlign w:val="center"/>
          </w:tcPr>
          <w:p>
            <w:pPr>
              <w:spacing w:line="240" w:lineRule="auto"/>
              <w:ind w:firstLine="0" w:firstLineChars="0"/>
              <w:jc w:val="center"/>
              <w:rPr>
                <w:color w:val="auto"/>
                <w:sz w:val="24"/>
                <w:szCs w:val="24"/>
              </w:rPr>
            </w:pPr>
            <w:r>
              <w:rPr>
                <w:color w:val="auto"/>
                <w:sz w:val="24"/>
                <w:szCs w:val="24"/>
              </w:rPr>
              <w:t>2</w:t>
            </w:r>
            <w:r>
              <w:rPr>
                <w:rFonts w:hint="eastAsia"/>
                <w:color w:val="auto"/>
                <w:sz w:val="24"/>
                <w:szCs w:val="24"/>
              </w:rPr>
              <w:t>.20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2.30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2.64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3.22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4.00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5.38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5.98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7.18</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平面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2.73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2.85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3.27</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3.99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4.96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6.57</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7.42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8.90</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曲面</w:t>
            </w:r>
            <w:r>
              <w:rPr>
                <w:color w:val="auto"/>
                <w:sz w:val="18"/>
                <w:szCs w:val="18"/>
              </w:rPr>
              <w:t>普通钢化玻璃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2.88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3.01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3.46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4.22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5.24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7.05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7.83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9.41</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13.</w:t>
            </w:r>
            <w:r>
              <w:rPr>
                <w:color w:val="auto"/>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曲面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3.56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3.73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4.28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5.22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6.48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8.72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9.69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11.63</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restart"/>
            <w:vAlign w:val="center"/>
          </w:tcPr>
          <w:p>
            <w:pPr>
              <w:spacing w:line="240" w:lineRule="auto"/>
              <w:ind w:firstLine="0" w:firstLineChars="0"/>
              <w:jc w:val="center"/>
              <w:rPr>
                <w:color w:val="auto"/>
                <w:sz w:val="24"/>
                <w:szCs w:val="24"/>
              </w:rPr>
            </w:pPr>
            <w:r>
              <w:rPr>
                <w:rFonts w:hint="eastAsia"/>
                <w:color w:val="auto"/>
                <w:sz w:val="24"/>
                <w:szCs w:val="24"/>
              </w:rPr>
              <w:t>2</w:t>
            </w: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平面</w:t>
            </w:r>
            <w:r>
              <w:rPr>
                <w:color w:val="auto"/>
                <w:sz w:val="18"/>
                <w:szCs w:val="18"/>
              </w:rPr>
              <w:t>普通玻璃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2.75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2.87</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3.30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4.02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5.00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6.73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7.48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8.98</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平面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3.41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3.56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4.09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4.98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6.20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8.35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9.28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11.14</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曲面</w:t>
            </w:r>
            <w:r>
              <w:rPr>
                <w:color w:val="auto"/>
                <w:sz w:val="18"/>
                <w:szCs w:val="18"/>
              </w:rPr>
              <w:t>普通钢化玻璃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3.60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3.76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4.32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5.27</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6.55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8.82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9.80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11.76</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18"/>
                <w:szCs w:val="18"/>
              </w:rPr>
            </w:pPr>
            <w:r>
              <w:rPr>
                <w:rFonts w:hint="eastAsia"/>
                <w:color w:val="auto"/>
                <w:sz w:val="18"/>
                <w:szCs w:val="18"/>
              </w:rPr>
              <w:t>曲面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4.46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4.65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5.35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6.51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8.10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10.90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12.12</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14.55</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restart"/>
            <w:vAlign w:val="center"/>
          </w:tcPr>
          <w:p>
            <w:pPr>
              <w:spacing w:line="240" w:lineRule="auto"/>
              <w:ind w:firstLine="0" w:firstLineChars="0"/>
              <w:jc w:val="center"/>
              <w:rPr>
                <w:color w:val="auto"/>
                <w:sz w:val="24"/>
                <w:szCs w:val="24"/>
              </w:rPr>
            </w:pPr>
            <w:r>
              <w:rPr>
                <w:rFonts w:hint="eastAsia"/>
                <w:color w:val="auto"/>
                <w:sz w:val="24"/>
                <w:szCs w:val="24"/>
              </w:rPr>
              <w:t>3</w:t>
            </w:r>
          </w:p>
        </w:tc>
        <w:tc>
          <w:tcPr>
            <w:tcW w:w="1305" w:type="dxa"/>
            <w:vAlign w:val="center"/>
          </w:tcPr>
          <w:p>
            <w:pPr>
              <w:spacing w:line="200" w:lineRule="exact"/>
              <w:ind w:firstLine="0" w:firstLineChars="0"/>
              <w:jc w:val="center"/>
              <w:rPr>
                <w:color w:val="auto"/>
                <w:sz w:val="24"/>
                <w:szCs w:val="24"/>
              </w:rPr>
            </w:pPr>
            <w:r>
              <w:rPr>
                <w:rFonts w:hint="eastAsia"/>
                <w:color w:val="auto"/>
                <w:sz w:val="18"/>
                <w:szCs w:val="18"/>
              </w:rPr>
              <w:t>平面</w:t>
            </w:r>
            <w:r>
              <w:rPr>
                <w:color w:val="auto"/>
                <w:sz w:val="18"/>
                <w:szCs w:val="18"/>
              </w:rPr>
              <w:t>普通玻璃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3.46</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3.58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3.98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4.39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5.95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7.43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8.51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10.01</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24"/>
                <w:szCs w:val="24"/>
              </w:rPr>
            </w:pPr>
            <w:r>
              <w:rPr>
                <w:rFonts w:hint="eastAsia"/>
                <w:color w:val="auto"/>
                <w:sz w:val="18"/>
                <w:szCs w:val="18"/>
              </w:rPr>
              <w:t>平面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4.29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4.44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4.94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5.44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7.38</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9.21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10.55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12.41</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24"/>
                <w:szCs w:val="24"/>
              </w:rPr>
            </w:pPr>
            <w:r>
              <w:rPr>
                <w:rFonts w:hint="eastAsia"/>
                <w:color w:val="auto"/>
                <w:sz w:val="18"/>
                <w:szCs w:val="18"/>
              </w:rPr>
              <w:t>曲面</w:t>
            </w:r>
            <w:r>
              <w:rPr>
                <w:color w:val="auto"/>
                <w:sz w:val="18"/>
                <w:szCs w:val="18"/>
              </w:rPr>
              <w:t>普通钢化玻璃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4.53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4.69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5.21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5.75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7.75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9.73</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11.15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13.11</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71" w:type="dxa"/>
            <w:vMerge w:val="continue"/>
            <w:vAlign w:val="center"/>
          </w:tcPr>
          <w:p>
            <w:pPr>
              <w:spacing w:line="240" w:lineRule="auto"/>
              <w:ind w:firstLine="0" w:firstLineChars="0"/>
              <w:jc w:val="center"/>
              <w:rPr>
                <w:color w:val="auto"/>
                <w:sz w:val="24"/>
                <w:szCs w:val="24"/>
              </w:rPr>
            </w:pPr>
          </w:p>
        </w:tc>
        <w:tc>
          <w:tcPr>
            <w:tcW w:w="1305" w:type="dxa"/>
            <w:vAlign w:val="center"/>
          </w:tcPr>
          <w:p>
            <w:pPr>
              <w:spacing w:line="200" w:lineRule="exact"/>
              <w:ind w:firstLine="0" w:firstLineChars="0"/>
              <w:jc w:val="center"/>
              <w:rPr>
                <w:color w:val="auto"/>
                <w:sz w:val="24"/>
                <w:szCs w:val="24"/>
              </w:rPr>
            </w:pPr>
            <w:r>
              <w:rPr>
                <w:rFonts w:hint="eastAsia"/>
                <w:color w:val="auto"/>
                <w:sz w:val="18"/>
                <w:szCs w:val="18"/>
              </w:rPr>
              <w:t>曲面</w:t>
            </w:r>
            <w:r>
              <w:rPr>
                <w:color w:val="auto"/>
                <w:sz w:val="18"/>
                <w:szCs w:val="18"/>
              </w:rPr>
              <w:t>低辐射镀膜钢化玻璃</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5.51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5.80</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6.45</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7.11</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9.64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12.04</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13.79</w:t>
            </w:r>
          </w:p>
        </w:tc>
        <w:tc>
          <w:tcPr>
            <w:tcW w:w="718" w:type="dxa"/>
            <w:vAlign w:val="center"/>
          </w:tcPr>
          <w:p>
            <w:pPr>
              <w:spacing w:line="240" w:lineRule="auto"/>
              <w:ind w:firstLine="0" w:firstLineChars="0"/>
              <w:jc w:val="center"/>
              <w:rPr>
                <w:color w:val="auto"/>
                <w:sz w:val="24"/>
                <w:szCs w:val="24"/>
              </w:rPr>
            </w:pPr>
            <w:r>
              <w:rPr>
                <w:rFonts w:hint="eastAsia"/>
                <w:color w:val="auto"/>
                <w:sz w:val="24"/>
                <w:szCs w:val="24"/>
              </w:rPr>
              <w:t>16.22</w:t>
            </w:r>
          </w:p>
        </w:tc>
        <w:tc>
          <w:tcPr>
            <w:tcW w:w="718" w:type="dxa"/>
            <w:gridSpan w:val="2"/>
            <w:vAlign w:val="center"/>
          </w:tcPr>
          <w:p>
            <w:pPr>
              <w:spacing w:line="240" w:lineRule="auto"/>
              <w:ind w:firstLine="0" w:firstLineChars="0"/>
              <w:jc w:val="center"/>
              <w:rPr>
                <w:color w:val="auto"/>
                <w:sz w:val="24"/>
                <w:szCs w:val="24"/>
              </w:rPr>
            </w:pPr>
            <w:r>
              <w:rPr>
                <w:rFonts w:hint="eastAsia"/>
                <w:color w:val="auto"/>
                <w:sz w:val="24"/>
                <w:szCs w:val="24"/>
              </w:rPr>
              <w:t>23.04</w:t>
            </w:r>
          </w:p>
        </w:tc>
      </w:tr>
    </w:tbl>
    <w:p>
      <w:pPr>
        <w:spacing w:line="240" w:lineRule="auto"/>
        <w:ind w:firstLine="0" w:firstLineChars="0"/>
        <w:rPr>
          <w:color w:val="auto"/>
        </w:rPr>
      </w:pPr>
    </w:p>
    <w:p>
      <w:pPr>
        <w:ind w:firstLine="560"/>
        <w:rPr>
          <w:color w:val="auto"/>
        </w:rPr>
      </w:pPr>
      <w:r>
        <w:rPr>
          <w:rFonts w:hint="eastAsia"/>
          <w:color w:val="auto"/>
        </w:rPr>
        <w:t>根据《绿色产品评价建筑玻璃》（</w:t>
      </w:r>
      <w:r>
        <w:rPr>
          <w:color w:val="auto"/>
        </w:rPr>
        <w:t>GB/T 35604-2017</w:t>
      </w:r>
      <w:r>
        <w:rPr>
          <w:rFonts w:hint="eastAsia"/>
          <w:color w:val="auto"/>
        </w:rPr>
        <w:t>），区内玻璃生产主要绿色产品能耗限额指标如下表所示：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7</w:t>
      </w:r>
      <w:r>
        <w:rPr>
          <w:color w:val="auto"/>
        </w:rPr>
        <w:fldChar w:fldCharType="end"/>
      </w:r>
      <w:r>
        <w:rPr>
          <w:color w:val="auto"/>
        </w:rPr>
        <w:t xml:space="preserve"> </w:t>
      </w:r>
      <w:r>
        <w:rPr>
          <w:rFonts w:hint="eastAsia"/>
          <w:color w:val="auto"/>
        </w:rPr>
        <w:t>建筑玻璃绿色评价能耗</w:t>
      </w:r>
      <w:r>
        <w:rPr>
          <w:color w:val="auto"/>
        </w:rPr>
        <w:t>指标</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439"/>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b/>
                <w:color w:val="auto"/>
                <w:sz w:val="24"/>
              </w:rPr>
            </w:pPr>
            <w:r>
              <w:rPr>
                <w:rFonts w:hint="eastAsia"/>
                <w:b/>
                <w:color w:val="auto"/>
                <w:sz w:val="24"/>
              </w:rPr>
              <w:t>序号</w:t>
            </w:r>
          </w:p>
        </w:tc>
        <w:tc>
          <w:tcPr>
            <w:tcW w:w="4439" w:type="dxa"/>
            <w:vAlign w:val="center"/>
          </w:tcPr>
          <w:p>
            <w:pPr>
              <w:spacing w:line="240" w:lineRule="auto"/>
              <w:ind w:firstLine="0" w:firstLineChars="0"/>
              <w:jc w:val="center"/>
              <w:rPr>
                <w:b/>
                <w:color w:val="auto"/>
                <w:sz w:val="24"/>
              </w:rPr>
            </w:pPr>
            <w:r>
              <w:rPr>
                <w:rFonts w:hint="eastAsia"/>
                <w:b/>
                <w:color w:val="auto"/>
                <w:sz w:val="24"/>
              </w:rPr>
              <w:t>产品</w:t>
            </w:r>
            <w:r>
              <w:rPr>
                <w:b/>
                <w:color w:val="auto"/>
                <w:sz w:val="24"/>
              </w:rPr>
              <w:t>种类</w:t>
            </w:r>
          </w:p>
        </w:tc>
        <w:tc>
          <w:tcPr>
            <w:tcW w:w="2841" w:type="dxa"/>
            <w:vAlign w:val="center"/>
          </w:tcPr>
          <w:p>
            <w:pPr>
              <w:spacing w:line="240" w:lineRule="auto"/>
              <w:ind w:firstLine="0" w:firstLineChars="0"/>
              <w:jc w:val="center"/>
              <w:rPr>
                <w:b/>
                <w:color w:val="auto"/>
                <w:sz w:val="24"/>
              </w:rPr>
            </w:pPr>
            <w:r>
              <w:rPr>
                <w:rFonts w:hint="eastAsia"/>
                <w:b/>
                <w:color w:val="auto"/>
                <w:sz w:val="24"/>
              </w:rPr>
              <w:t>能耗指标（</w:t>
            </w:r>
            <w:r>
              <w:rPr>
                <w:b/>
                <w:color w:val="auto"/>
                <w:sz w:val="24"/>
                <w:szCs w:val="24"/>
              </w:rPr>
              <w:t>kW·h/m</w:t>
            </w:r>
            <w:r>
              <w:rPr>
                <w:b/>
                <w:color w:val="auto"/>
                <w:sz w:val="24"/>
                <w:szCs w:val="24"/>
                <w:vertAlign w:val="superscript"/>
              </w:rPr>
              <w:t>2</w:t>
            </w:r>
            <w:r>
              <w:rPr>
                <w:rFonts w:hint="eastAsia"/>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color w:val="auto"/>
                <w:sz w:val="24"/>
              </w:rPr>
            </w:pPr>
            <w:r>
              <w:rPr>
                <w:rFonts w:hint="eastAsia"/>
                <w:color w:val="auto"/>
                <w:sz w:val="24"/>
              </w:rPr>
              <w:t>1</w:t>
            </w:r>
          </w:p>
        </w:tc>
        <w:tc>
          <w:tcPr>
            <w:tcW w:w="4439" w:type="dxa"/>
            <w:vAlign w:val="center"/>
          </w:tcPr>
          <w:p>
            <w:pPr>
              <w:spacing w:line="240" w:lineRule="auto"/>
              <w:ind w:firstLine="0" w:firstLineChars="0"/>
              <w:jc w:val="center"/>
              <w:rPr>
                <w:color w:val="auto"/>
                <w:sz w:val="24"/>
              </w:rPr>
            </w:pPr>
            <w:r>
              <w:rPr>
                <w:rFonts w:hint="eastAsia"/>
                <w:color w:val="auto"/>
                <w:sz w:val="24"/>
              </w:rPr>
              <w:t>平面普通玻璃</w:t>
            </w:r>
          </w:p>
        </w:tc>
        <w:tc>
          <w:tcPr>
            <w:tcW w:w="2841" w:type="dxa"/>
            <w:vAlign w:val="center"/>
          </w:tcPr>
          <w:p>
            <w:pPr>
              <w:spacing w:line="240" w:lineRule="auto"/>
              <w:ind w:firstLine="0" w:firstLineChars="0"/>
              <w:jc w:val="center"/>
              <w:rPr>
                <w:color w:val="auto"/>
                <w:sz w:val="24"/>
              </w:rPr>
            </w:pPr>
            <w:r>
              <w:rPr>
                <w:color w:val="auto"/>
                <w:sz w:val="24"/>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color w:val="auto"/>
                <w:sz w:val="24"/>
              </w:rPr>
            </w:pPr>
            <w:r>
              <w:rPr>
                <w:rFonts w:hint="eastAsia"/>
                <w:color w:val="auto"/>
                <w:sz w:val="24"/>
              </w:rPr>
              <w:t>2</w:t>
            </w:r>
          </w:p>
        </w:tc>
        <w:tc>
          <w:tcPr>
            <w:tcW w:w="4439" w:type="dxa"/>
            <w:vAlign w:val="center"/>
          </w:tcPr>
          <w:p>
            <w:pPr>
              <w:spacing w:line="240" w:lineRule="auto"/>
              <w:ind w:firstLine="0" w:firstLineChars="0"/>
              <w:jc w:val="center"/>
              <w:rPr>
                <w:color w:val="auto"/>
                <w:sz w:val="24"/>
              </w:rPr>
            </w:pPr>
            <w:r>
              <w:rPr>
                <w:rFonts w:hint="eastAsia"/>
                <w:color w:val="auto"/>
                <w:sz w:val="24"/>
              </w:rPr>
              <w:t>平面低辐射镀膜钢化玻璃</w:t>
            </w:r>
          </w:p>
        </w:tc>
        <w:tc>
          <w:tcPr>
            <w:tcW w:w="2841" w:type="dxa"/>
            <w:vAlign w:val="center"/>
          </w:tcPr>
          <w:p>
            <w:pPr>
              <w:spacing w:line="240" w:lineRule="auto"/>
              <w:ind w:firstLine="0" w:firstLineChars="0"/>
              <w:jc w:val="center"/>
              <w:rPr>
                <w:color w:val="auto"/>
                <w:sz w:val="24"/>
              </w:rPr>
            </w:pPr>
            <w:r>
              <w:rPr>
                <w:color w:val="auto"/>
                <w:sz w:val="24"/>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color w:val="auto"/>
                <w:sz w:val="24"/>
              </w:rPr>
            </w:pPr>
            <w:r>
              <w:rPr>
                <w:rFonts w:hint="eastAsia"/>
                <w:color w:val="auto"/>
                <w:sz w:val="24"/>
              </w:rPr>
              <w:t>3</w:t>
            </w:r>
          </w:p>
        </w:tc>
        <w:tc>
          <w:tcPr>
            <w:tcW w:w="4439" w:type="dxa"/>
            <w:vAlign w:val="center"/>
          </w:tcPr>
          <w:p>
            <w:pPr>
              <w:spacing w:line="240" w:lineRule="auto"/>
              <w:ind w:firstLine="0" w:firstLineChars="0"/>
              <w:jc w:val="center"/>
              <w:rPr>
                <w:color w:val="auto"/>
                <w:sz w:val="24"/>
              </w:rPr>
            </w:pPr>
            <w:r>
              <w:rPr>
                <w:rFonts w:hint="eastAsia"/>
                <w:color w:val="auto"/>
                <w:sz w:val="24"/>
              </w:rPr>
              <w:t>曲面普通钢化玻璃</w:t>
            </w:r>
          </w:p>
        </w:tc>
        <w:tc>
          <w:tcPr>
            <w:tcW w:w="2841" w:type="dxa"/>
            <w:vAlign w:val="center"/>
          </w:tcPr>
          <w:p>
            <w:pPr>
              <w:spacing w:line="240" w:lineRule="auto"/>
              <w:ind w:firstLine="0" w:firstLineChars="0"/>
              <w:jc w:val="center"/>
              <w:rPr>
                <w:color w:val="auto"/>
                <w:sz w:val="24"/>
              </w:rPr>
            </w:pPr>
            <w:r>
              <w:rPr>
                <w:color w:val="auto"/>
                <w:sz w:val="24"/>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color w:val="auto"/>
                <w:sz w:val="24"/>
              </w:rPr>
            </w:pPr>
            <w:r>
              <w:rPr>
                <w:rFonts w:hint="eastAsia"/>
                <w:color w:val="auto"/>
                <w:sz w:val="24"/>
              </w:rPr>
              <w:t>4</w:t>
            </w:r>
          </w:p>
        </w:tc>
        <w:tc>
          <w:tcPr>
            <w:tcW w:w="4439" w:type="dxa"/>
            <w:vAlign w:val="center"/>
          </w:tcPr>
          <w:p>
            <w:pPr>
              <w:spacing w:line="240" w:lineRule="auto"/>
              <w:ind w:firstLine="0" w:firstLineChars="0"/>
              <w:jc w:val="center"/>
              <w:rPr>
                <w:color w:val="auto"/>
                <w:sz w:val="24"/>
              </w:rPr>
            </w:pPr>
            <w:r>
              <w:rPr>
                <w:rFonts w:hint="eastAsia"/>
                <w:color w:val="auto"/>
                <w:sz w:val="24"/>
              </w:rPr>
              <w:t>曲面低辐射镀膜钢化玻璃</w:t>
            </w:r>
          </w:p>
        </w:tc>
        <w:tc>
          <w:tcPr>
            <w:tcW w:w="2841" w:type="dxa"/>
            <w:vAlign w:val="center"/>
          </w:tcPr>
          <w:p>
            <w:pPr>
              <w:spacing w:line="240" w:lineRule="auto"/>
              <w:ind w:firstLine="0" w:firstLineChars="0"/>
              <w:jc w:val="center"/>
              <w:rPr>
                <w:color w:val="auto"/>
                <w:sz w:val="24"/>
              </w:rPr>
            </w:pPr>
            <w:r>
              <w:rPr>
                <w:color w:val="auto"/>
                <w:sz w:val="24"/>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spacing w:line="240" w:lineRule="auto"/>
              <w:ind w:firstLine="0" w:firstLineChars="0"/>
              <w:jc w:val="center"/>
              <w:rPr>
                <w:color w:val="auto"/>
                <w:sz w:val="24"/>
              </w:rPr>
            </w:pPr>
            <w:r>
              <w:rPr>
                <w:rFonts w:hint="eastAsia"/>
                <w:color w:val="auto"/>
                <w:sz w:val="24"/>
              </w:rPr>
              <w:t>5</w:t>
            </w:r>
          </w:p>
        </w:tc>
        <w:tc>
          <w:tcPr>
            <w:tcW w:w="4439" w:type="dxa"/>
            <w:vAlign w:val="center"/>
          </w:tcPr>
          <w:p>
            <w:pPr>
              <w:spacing w:line="240" w:lineRule="auto"/>
              <w:ind w:firstLine="0" w:firstLineChars="0"/>
              <w:jc w:val="center"/>
              <w:rPr>
                <w:color w:val="auto"/>
                <w:sz w:val="24"/>
              </w:rPr>
            </w:pPr>
            <w:r>
              <w:rPr>
                <w:rFonts w:hint="eastAsia"/>
                <w:color w:val="auto"/>
                <w:sz w:val="24"/>
              </w:rPr>
              <w:t>夹层</w:t>
            </w:r>
            <w:r>
              <w:rPr>
                <w:color w:val="auto"/>
                <w:sz w:val="24"/>
              </w:rPr>
              <w:t>玻璃</w:t>
            </w:r>
          </w:p>
        </w:tc>
        <w:tc>
          <w:tcPr>
            <w:tcW w:w="2841" w:type="dxa"/>
            <w:vAlign w:val="center"/>
          </w:tcPr>
          <w:p>
            <w:pPr>
              <w:spacing w:line="240" w:lineRule="auto"/>
              <w:ind w:firstLine="0" w:firstLineChars="0"/>
              <w:jc w:val="center"/>
              <w:rPr>
                <w:color w:val="auto"/>
                <w:sz w:val="24"/>
              </w:rPr>
            </w:pPr>
            <w:r>
              <w:rPr>
                <w:rFonts w:hint="eastAsia"/>
                <w:color w:val="auto"/>
                <w:sz w:val="24"/>
              </w:rPr>
              <w:t>4.00</w:t>
            </w:r>
          </w:p>
        </w:tc>
      </w:tr>
    </w:tbl>
    <w:p>
      <w:pPr>
        <w:spacing w:line="240" w:lineRule="auto"/>
        <w:ind w:firstLine="0" w:firstLineChars="0"/>
        <w:rPr>
          <w:color w:val="auto"/>
          <w:sz w:val="21"/>
        </w:rPr>
      </w:pPr>
    </w:p>
    <w:p>
      <w:pPr>
        <w:ind w:firstLine="560"/>
        <w:rPr>
          <w:color w:val="auto"/>
        </w:rPr>
      </w:pPr>
      <w:r>
        <w:rPr>
          <w:rFonts w:hint="eastAsia"/>
          <w:color w:val="auto"/>
        </w:rPr>
        <w:t>近年来，咸宁南玻玻璃有限公司两条日熔化量700t/d的浮法玻璃生产线能耗一直处于或接近国内先进水平，近年单位产品能耗情况如下表所示：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8</w:t>
      </w:r>
      <w:r>
        <w:rPr>
          <w:color w:val="auto"/>
        </w:rPr>
        <w:fldChar w:fldCharType="end"/>
      </w:r>
      <w:r>
        <w:rPr>
          <w:color w:val="auto"/>
        </w:rPr>
        <w:t xml:space="preserve"> </w:t>
      </w:r>
      <w:r>
        <w:rPr>
          <w:rFonts w:hint="eastAsia"/>
          <w:color w:val="auto"/>
        </w:rPr>
        <w:t>近年咸宁南玻玻璃有限公司单位产品能耗（kgce/重量箱）</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42"/>
        <w:gridCol w:w="1594"/>
        <w:gridCol w:w="1595"/>
        <w:gridCol w:w="1594"/>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tcBorders>
              <w:tl2br w:val="single" w:color="auto" w:sz="4" w:space="0"/>
            </w:tcBorders>
            <w:vAlign w:val="center"/>
          </w:tcPr>
          <w:p>
            <w:pPr>
              <w:spacing w:line="240" w:lineRule="auto"/>
              <w:ind w:firstLine="0" w:firstLineChars="0"/>
              <w:jc w:val="right"/>
              <w:rPr>
                <w:b/>
                <w:color w:val="auto"/>
                <w:sz w:val="24"/>
                <w:szCs w:val="24"/>
              </w:rPr>
            </w:pPr>
            <w:r>
              <w:rPr>
                <w:rFonts w:hint="eastAsia"/>
                <w:b/>
                <w:color w:val="auto"/>
                <w:sz w:val="24"/>
                <w:szCs w:val="24"/>
              </w:rPr>
              <w:t>年份</w:t>
            </w:r>
          </w:p>
          <w:p>
            <w:pPr>
              <w:spacing w:line="240" w:lineRule="auto"/>
              <w:ind w:firstLine="0" w:firstLineChars="0"/>
              <w:jc w:val="left"/>
              <w:rPr>
                <w:b/>
                <w:color w:val="auto"/>
                <w:sz w:val="24"/>
                <w:szCs w:val="24"/>
              </w:rPr>
            </w:pPr>
            <w:r>
              <w:rPr>
                <w:rFonts w:hint="eastAsia"/>
                <w:b/>
                <w:color w:val="auto"/>
                <w:sz w:val="24"/>
                <w:szCs w:val="24"/>
              </w:rPr>
              <w:t>生产线</w:t>
            </w:r>
          </w:p>
        </w:tc>
        <w:tc>
          <w:tcPr>
            <w:tcW w:w="1594" w:type="dxa"/>
            <w:vAlign w:val="center"/>
          </w:tcPr>
          <w:p>
            <w:pPr>
              <w:spacing w:line="240" w:lineRule="auto"/>
              <w:ind w:firstLine="0" w:firstLineChars="0"/>
              <w:jc w:val="center"/>
              <w:rPr>
                <w:b/>
                <w:color w:val="auto"/>
                <w:sz w:val="24"/>
              </w:rPr>
            </w:pPr>
            <w:r>
              <w:rPr>
                <w:rFonts w:hint="eastAsia"/>
                <w:b/>
                <w:color w:val="auto"/>
                <w:sz w:val="24"/>
              </w:rPr>
              <w:t>2019</w:t>
            </w:r>
          </w:p>
        </w:tc>
        <w:tc>
          <w:tcPr>
            <w:tcW w:w="1595" w:type="dxa"/>
            <w:vAlign w:val="center"/>
          </w:tcPr>
          <w:p>
            <w:pPr>
              <w:spacing w:line="240" w:lineRule="auto"/>
              <w:ind w:firstLine="0" w:firstLineChars="0"/>
              <w:jc w:val="center"/>
              <w:rPr>
                <w:b/>
                <w:color w:val="auto"/>
                <w:sz w:val="24"/>
              </w:rPr>
            </w:pPr>
            <w:r>
              <w:rPr>
                <w:rFonts w:hint="eastAsia"/>
                <w:b/>
                <w:color w:val="auto"/>
                <w:sz w:val="24"/>
              </w:rPr>
              <w:t>2018</w:t>
            </w:r>
          </w:p>
        </w:tc>
        <w:tc>
          <w:tcPr>
            <w:tcW w:w="1594" w:type="dxa"/>
            <w:vAlign w:val="center"/>
          </w:tcPr>
          <w:p>
            <w:pPr>
              <w:spacing w:line="240" w:lineRule="auto"/>
              <w:ind w:firstLine="0" w:firstLineChars="0"/>
              <w:jc w:val="center"/>
              <w:rPr>
                <w:b/>
                <w:color w:val="auto"/>
                <w:sz w:val="24"/>
              </w:rPr>
            </w:pPr>
            <w:r>
              <w:rPr>
                <w:rFonts w:hint="eastAsia"/>
                <w:b/>
                <w:color w:val="auto"/>
                <w:sz w:val="24"/>
              </w:rPr>
              <w:t>2017</w:t>
            </w:r>
          </w:p>
        </w:tc>
        <w:tc>
          <w:tcPr>
            <w:tcW w:w="1595" w:type="dxa"/>
            <w:vAlign w:val="center"/>
          </w:tcPr>
          <w:p>
            <w:pPr>
              <w:spacing w:line="240" w:lineRule="auto"/>
              <w:ind w:firstLine="0" w:firstLineChars="0"/>
              <w:jc w:val="center"/>
              <w:rPr>
                <w:b/>
                <w:color w:val="auto"/>
                <w:sz w:val="24"/>
              </w:rPr>
            </w:pPr>
            <w:r>
              <w:rPr>
                <w:rFonts w:hint="eastAsia"/>
                <w:b/>
                <w:color w:val="auto"/>
                <w:sz w:val="24"/>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Align w:val="center"/>
          </w:tcPr>
          <w:p>
            <w:pPr>
              <w:spacing w:line="240" w:lineRule="auto"/>
              <w:ind w:firstLine="0" w:firstLineChars="0"/>
              <w:jc w:val="center"/>
              <w:rPr>
                <w:color w:val="auto"/>
                <w:sz w:val="24"/>
                <w:szCs w:val="24"/>
              </w:rPr>
            </w:pPr>
            <w:r>
              <w:rPr>
                <w:rFonts w:hint="eastAsia"/>
                <w:color w:val="auto"/>
                <w:sz w:val="24"/>
                <w:szCs w:val="24"/>
              </w:rPr>
              <w:t>一线</w:t>
            </w:r>
          </w:p>
        </w:tc>
        <w:tc>
          <w:tcPr>
            <w:tcW w:w="1594" w:type="dxa"/>
            <w:vAlign w:val="center"/>
          </w:tcPr>
          <w:p>
            <w:pPr>
              <w:spacing w:line="240" w:lineRule="auto"/>
              <w:ind w:firstLine="0" w:firstLineChars="0"/>
              <w:jc w:val="center"/>
              <w:rPr>
                <w:color w:val="auto"/>
                <w:sz w:val="24"/>
              </w:rPr>
            </w:pPr>
            <w:r>
              <w:rPr>
                <w:rFonts w:hint="eastAsia"/>
                <w:color w:val="auto"/>
                <w:sz w:val="24"/>
              </w:rPr>
              <w:t>9.9</w:t>
            </w:r>
          </w:p>
        </w:tc>
        <w:tc>
          <w:tcPr>
            <w:tcW w:w="1595" w:type="dxa"/>
            <w:vAlign w:val="center"/>
          </w:tcPr>
          <w:p>
            <w:pPr>
              <w:spacing w:line="240" w:lineRule="auto"/>
              <w:ind w:firstLine="0" w:firstLineChars="0"/>
              <w:jc w:val="center"/>
              <w:rPr>
                <w:color w:val="auto"/>
                <w:sz w:val="24"/>
              </w:rPr>
            </w:pPr>
            <w:r>
              <w:rPr>
                <w:rFonts w:hint="eastAsia"/>
                <w:color w:val="auto"/>
                <w:sz w:val="24"/>
              </w:rPr>
              <w:t>10.8</w:t>
            </w:r>
          </w:p>
        </w:tc>
        <w:tc>
          <w:tcPr>
            <w:tcW w:w="1594" w:type="dxa"/>
            <w:vAlign w:val="center"/>
          </w:tcPr>
          <w:p>
            <w:pPr>
              <w:spacing w:line="240" w:lineRule="auto"/>
              <w:ind w:firstLine="0" w:firstLineChars="0"/>
              <w:jc w:val="center"/>
              <w:rPr>
                <w:color w:val="auto"/>
                <w:sz w:val="24"/>
              </w:rPr>
            </w:pPr>
            <w:r>
              <w:rPr>
                <w:rFonts w:hint="eastAsia"/>
                <w:color w:val="auto"/>
                <w:sz w:val="24"/>
              </w:rPr>
              <w:t>12.0</w:t>
            </w:r>
          </w:p>
        </w:tc>
        <w:tc>
          <w:tcPr>
            <w:tcW w:w="1595" w:type="dxa"/>
            <w:vAlign w:val="center"/>
          </w:tcPr>
          <w:p>
            <w:pPr>
              <w:spacing w:line="240" w:lineRule="auto"/>
              <w:ind w:firstLine="0" w:firstLineChars="0"/>
              <w:jc w:val="center"/>
              <w:rPr>
                <w:color w:val="auto"/>
                <w:sz w:val="24"/>
              </w:rPr>
            </w:pPr>
            <w:r>
              <w:rPr>
                <w:rFonts w:hint="eastAsia"/>
                <w:color w:val="auto"/>
                <w:sz w:val="24"/>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042" w:type="dxa"/>
            <w:vAlign w:val="center"/>
          </w:tcPr>
          <w:p>
            <w:pPr>
              <w:spacing w:line="240" w:lineRule="auto"/>
              <w:ind w:firstLine="0" w:firstLineChars="0"/>
              <w:jc w:val="center"/>
              <w:rPr>
                <w:color w:val="auto"/>
                <w:sz w:val="24"/>
                <w:szCs w:val="24"/>
              </w:rPr>
            </w:pPr>
            <w:r>
              <w:rPr>
                <w:rFonts w:hint="eastAsia"/>
                <w:color w:val="auto"/>
                <w:sz w:val="24"/>
                <w:szCs w:val="24"/>
              </w:rPr>
              <w:t>二线</w:t>
            </w:r>
          </w:p>
        </w:tc>
        <w:tc>
          <w:tcPr>
            <w:tcW w:w="1594" w:type="dxa"/>
            <w:vAlign w:val="center"/>
          </w:tcPr>
          <w:p>
            <w:pPr>
              <w:spacing w:line="240" w:lineRule="auto"/>
              <w:ind w:firstLine="0" w:firstLineChars="0"/>
              <w:jc w:val="center"/>
              <w:rPr>
                <w:color w:val="auto"/>
                <w:sz w:val="24"/>
              </w:rPr>
            </w:pPr>
            <w:r>
              <w:rPr>
                <w:rFonts w:hint="eastAsia"/>
                <w:color w:val="auto"/>
                <w:sz w:val="24"/>
              </w:rPr>
              <w:t>10.8</w:t>
            </w:r>
          </w:p>
        </w:tc>
        <w:tc>
          <w:tcPr>
            <w:tcW w:w="1595" w:type="dxa"/>
            <w:vAlign w:val="center"/>
          </w:tcPr>
          <w:p>
            <w:pPr>
              <w:spacing w:line="240" w:lineRule="auto"/>
              <w:ind w:firstLine="0" w:firstLineChars="0"/>
              <w:jc w:val="center"/>
              <w:rPr>
                <w:color w:val="auto"/>
                <w:sz w:val="24"/>
              </w:rPr>
            </w:pPr>
            <w:r>
              <w:rPr>
                <w:rFonts w:hint="eastAsia"/>
                <w:color w:val="auto"/>
                <w:sz w:val="24"/>
              </w:rPr>
              <w:t>9.6</w:t>
            </w:r>
          </w:p>
        </w:tc>
        <w:tc>
          <w:tcPr>
            <w:tcW w:w="1594" w:type="dxa"/>
            <w:vAlign w:val="center"/>
          </w:tcPr>
          <w:p>
            <w:pPr>
              <w:spacing w:line="240" w:lineRule="auto"/>
              <w:ind w:firstLine="0" w:firstLineChars="0"/>
              <w:jc w:val="center"/>
              <w:rPr>
                <w:color w:val="auto"/>
                <w:sz w:val="24"/>
              </w:rPr>
            </w:pPr>
            <w:r>
              <w:rPr>
                <w:rFonts w:hint="eastAsia"/>
                <w:color w:val="auto"/>
                <w:sz w:val="24"/>
              </w:rPr>
              <w:t>10.6</w:t>
            </w:r>
          </w:p>
        </w:tc>
        <w:tc>
          <w:tcPr>
            <w:tcW w:w="1595" w:type="dxa"/>
            <w:vAlign w:val="center"/>
          </w:tcPr>
          <w:p>
            <w:pPr>
              <w:spacing w:line="240" w:lineRule="auto"/>
              <w:ind w:firstLine="0" w:firstLineChars="0"/>
              <w:jc w:val="center"/>
              <w:rPr>
                <w:color w:val="auto"/>
                <w:sz w:val="24"/>
              </w:rPr>
            </w:pPr>
            <w:r>
              <w:rPr>
                <w:rFonts w:hint="eastAsia"/>
                <w:color w:val="auto"/>
                <w:sz w:val="24"/>
              </w:rPr>
              <w:t>10.8</w:t>
            </w:r>
          </w:p>
        </w:tc>
      </w:tr>
    </w:tbl>
    <w:p>
      <w:pPr>
        <w:spacing w:line="240" w:lineRule="auto"/>
        <w:ind w:firstLine="0" w:firstLineChars="0"/>
        <w:rPr>
          <w:color w:val="auto"/>
          <w:sz w:val="21"/>
        </w:rPr>
      </w:pP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9</w:t>
      </w:r>
      <w:r>
        <w:rPr>
          <w:color w:val="auto"/>
        </w:rPr>
        <w:fldChar w:fldCharType="end"/>
      </w:r>
      <w:r>
        <w:rPr>
          <w:color w:val="auto"/>
        </w:rPr>
        <w:t xml:space="preserve"> </w:t>
      </w:r>
      <w:r>
        <w:rPr>
          <w:rFonts w:hint="eastAsia"/>
          <w:color w:val="auto"/>
        </w:rPr>
        <w:t>平板玻璃700t/d生产线新老标准能耗对标情况（kgce/重量箱）</w:t>
      </w:r>
    </w:p>
    <w:tbl>
      <w:tblPr>
        <w:tblStyle w:val="55"/>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791"/>
        <w:gridCol w:w="1791"/>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1" w:type="pct"/>
            <w:shd w:val="clear" w:color="auto" w:fill="auto"/>
            <w:vAlign w:val="center"/>
          </w:tcPr>
          <w:p>
            <w:pPr>
              <w:spacing w:line="240" w:lineRule="auto"/>
              <w:ind w:firstLine="0" w:firstLineChars="0"/>
              <w:jc w:val="center"/>
              <w:rPr>
                <w:b/>
                <w:color w:val="auto"/>
                <w:sz w:val="24"/>
                <w:szCs w:val="24"/>
              </w:rPr>
            </w:pPr>
            <w:r>
              <w:rPr>
                <w:rFonts w:hint="eastAsia"/>
                <w:b/>
                <w:color w:val="auto"/>
                <w:sz w:val="24"/>
                <w:szCs w:val="24"/>
              </w:rPr>
              <w:t>能耗等级</w:t>
            </w:r>
          </w:p>
        </w:tc>
        <w:tc>
          <w:tcPr>
            <w:tcW w:w="1049" w:type="pct"/>
            <w:shd w:val="clear" w:color="auto" w:fill="auto"/>
            <w:vAlign w:val="center"/>
          </w:tcPr>
          <w:p>
            <w:pPr>
              <w:spacing w:line="240" w:lineRule="auto"/>
              <w:ind w:firstLine="0" w:firstLineChars="0"/>
              <w:jc w:val="center"/>
              <w:rPr>
                <w:b/>
                <w:color w:val="auto"/>
                <w:sz w:val="24"/>
                <w:szCs w:val="24"/>
              </w:rPr>
            </w:pPr>
            <w:r>
              <w:rPr>
                <w:rFonts w:hint="eastAsia"/>
                <w:b/>
                <w:color w:val="auto"/>
                <w:sz w:val="24"/>
                <w:szCs w:val="24"/>
              </w:rPr>
              <w:t>GB</w:t>
            </w:r>
            <w:r>
              <w:rPr>
                <w:b/>
                <w:color w:val="auto"/>
                <w:sz w:val="24"/>
                <w:szCs w:val="24"/>
              </w:rPr>
              <w:t xml:space="preserve"> </w:t>
            </w:r>
            <w:r>
              <w:rPr>
                <w:rFonts w:hint="eastAsia"/>
                <w:b/>
                <w:color w:val="auto"/>
                <w:sz w:val="24"/>
                <w:szCs w:val="24"/>
              </w:rPr>
              <w:t>21340-2013</w:t>
            </w:r>
          </w:p>
        </w:tc>
        <w:tc>
          <w:tcPr>
            <w:tcW w:w="1049" w:type="pct"/>
            <w:shd w:val="clear" w:color="auto" w:fill="auto"/>
            <w:vAlign w:val="center"/>
          </w:tcPr>
          <w:p>
            <w:pPr>
              <w:spacing w:line="240" w:lineRule="auto"/>
              <w:ind w:firstLine="0" w:firstLineChars="0"/>
              <w:jc w:val="center"/>
              <w:rPr>
                <w:b/>
                <w:color w:val="auto"/>
                <w:sz w:val="24"/>
                <w:szCs w:val="24"/>
              </w:rPr>
            </w:pPr>
            <w:r>
              <w:rPr>
                <w:rFonts w:hint="eastAsia"/>
                <w:b/>
                <w:color w:val="auto"/>
                <w:sz w:val="24"/>
                <w:szCs w:val="24"/>
              </w:rPr>
              <w:t>GB</w:t>
            </w:r>
            <w:r>
              <w:rPr>
                <w:b/>
                <w:color w:val="auto"/>
                <w:sz w:val="24"/>
                <w:szCs w:val="24"/>
              </w:rPr>
              <w:t xml:space="preserve"> </w:t>
            </w:r>
            <w:r>
              <w:rPr>
                <w:rFonts w:hint="eastAsia"/>
                <w:b/>
                <w:color w:val="auto"/>
                <w:sz w:val="24"/>
                <w:szCs w:val="24"/>
              </w:rPr>
              <w:t>21340-2019</w:t>
            </w:r>
          </w:p>
        </w:tc>
        <w:tc>
          <w:tcPr>
            <w:tcW w:w="2060" w:type="pct"/>
            <w:shd w:val="clear" w:color="auto" w:fill="auto"/>
            <w:vAlign w:val="center"/>
          </w:tcPr>
          <w:p>
            <w:pPr>
              <w:spacing w:line="240" w:lineRule="auto"/>
              <w:ind w:firstLine="0" w:firstLineChars="0"/>
              <w:jc w:val="center"/>
              <w:rPr>
                <w:b/>
                <w:color w:val="auto"/>
                <w:sz w:val="24"/>
                <w:szCs w:val="24"/>
              </w:rPr>
            </w:pPr>
            <w:r>
              <w:rPr>
                <w:rFonts w:hint="eastAsia"/>
                <w:b/>
                <w:color w:val="auto"/>
                <w:sz w:val="24"/>
                <w:szCs w:val="24"/>
              </w:rPr>
              <w:t>变化说明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1"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先进值</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12.5</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9.5</w:t>
            </w:r>
          </w:p>
        </w:tc>
        <w:tc>
          <w:tcPr>
            <w:tcW w:w="2060"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先进值共下降3kgce/重量箱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1"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准入值</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12.5</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11.5</w:t>
            </w:r>
          </w:p>
        </w:tc>
        <w:tc>
          <w:tcPr>
            <w:tcW w:w="2060"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下降1kgce/重量箱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1"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限定值</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13.5</w:t>
            </w:r>
          </w:p>
        </w:tc>
        <w:tc>
          <w:tcPr>
            <w:tcW w:w="1049"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13.5</w:t>
            </w:r>
          </w:p>
        </w:tc>
        <w:tc>
          <w:tcPr>
            <w:tcW w:w="2060" w:type="pct"/>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全国76.5%平板玻璃生产线达标</w:t>
            </w:r>
          </w:p>
        </w:tc>
      </w:tr>
    </w:tbl>
    <w:p>
      <w:pPr>
        <w:spacing w:line="240" w:lineRule="auto"/>
        <w:ind w:firstLine="0" w:firstLineChars="0"/>
        <w:rPr>
          <w:color w:val="auto"/>
          <w:sz w:val="21"/>
        </w:rPr>
      </w:pPr>
    </w:p>
    <w:p>
      <w:pPr>
        <w:ind w:firstLine="560"/>
        <w:rPr>
          <w:color w:val="auto"/>
        </w:rPr>
      </w:pPr>
      <w:r>
        <w:rPr>
          <w:rFonts w:hint="eastAsia"/>
          <w:color w:val="auto"/>
        </w:rPr>
        <w:t>咸宁南玻节能玻璃有限公司生产</w:t>
      </w:r>
      <w:r>
        <w:rPr>
          <w:color w:val="auto"/>
        </w:rPr>
        <w:t>的</w:t>
      </w:r>
      <w:r>
        <w:rPr>
          <w:rFonts w:hint="eastAsia"/>
          <w:color w:val="auto"/>
        </w:rPr>
        <w:t>平面普通钢化玻璃产品能耗≤3.22</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，平面低辐射镀膜钢化玻璃产品能耗≤3.99</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，夹层玻璃产品能耗≤4.0</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，用水定额≤0.01m</w:t>
      </w:r>
      <w:r>
        <w:rPr>
          <w:rFonts w:hint="eastAsia"/>
          <w:color w:val="auto"/>
          <w:vertAlign w:val="superscript"/>
        </w:rPr>
        <w:t>3</w:t>
      </w:r>
      <w:r>
        <w:rPr>
          <w:rFonts w:hint="eastAsia"/>
          <w:color w:val="auto"/>
        </w:rPr>
        <w:t>/m</w:t>
      </w:r>
      <w:r>
        <w:rPr>
          <w:rFonts w:hint="eastAsia"/>
          <w:color w:val="auto"/>
          <w:vertAlign w:val="superscript"/>
        </w:rPr>
        <w:t>2</w:t>
      </w:r>
      <w:r>
        <w:rPr>
          <w:rFonts w:hint="eastAsia"/>
          <w:color w:val="auto"/>
        </w:rPr>
        <w:t>，水资源重复利用率≥90%，满足《绿色产品评价建筑玻璃》（GB/T 35604-2017）</w:t>
      </w:r>
      <w:r>
        <w:rPr>
          <w:color w:val="auto"/>
        </w:rPr>
        <w:t>要求。</w:t>
      </w:r>
      <w:r>
        <w:rPr>
          <w:rFonts w:hint="eastAsia"/>
          <w:color w:val="auto"/>
        </w:rPr>
        <w:t>2019年</w:t>
      </w:r>
      <w:r>
        <w:rPr>
          <w:color w:val="auto"/>
        </w:rPr>
        <w:t>，</w:t>
      </w:r>
      <w:r>
        <w:rPr>
          <w:rFonts w:hint="eastAsia"/>
          <w:color w:val="auto"/>
        </w:rPr>
        <w:t>其</w:t>
      </w:r>
      <w:r>
        <w:rPr>
          <w:color w:val="auto"/>
        </w:rPr>
        <w:t>主要生产线产品</w:t>
      </w:r>
      <w:r>
        <w:rPr>
          <w:rFonts w:hint="eastAsia"/>
          <w:color w:val="auto"/>
        </w:rPr>
        <w:t>能耗</w:t>
      </w:r>
      <w:r>
        <w:rPr>
          <w:color w:val="auto"/>
        </w:rPr>
        <w:t>水平如下表所示：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10</w:t>
      </w:r>
      <w:r>
        <w:rPr>
          <w:color w:val="auto"/>
        </w:rPr>
        <w:fldChar w:fldCharType="end"/>
      </w:r>
      <w:r>
        <w:rPr>
          <w:color w:val="auto"/>
        </w:rPr>
        <w:t xml:space="preserve"> </w:t>
      </w:r>
      <w:r>
        <w:rPr>
          <w:rFonts w:hint="eastAsia"/>
          <w:color w:val="auto"/>
        </w:rPr>
        <w:t>南玻节能2019年</w:t>
      </w:r>
      <w:r>
        <w:rPr>
          <w:color w:val="auto"/>
        </w:rPr>
        <w:t>相关能耗指标</w:t>
      </w:r>
    </w:p>
    <w:tbl>
      <w:tblPr>
        <w:tblStyle w:val="23"/>
        <w:tblW w:w="5000" w:type="pct"/>
        <w:tblInd w:w="0" w:type="dxa"/>
        <w:tblLayout w:type="autofit"/>
        <w:tblCellMar>
          <w:top w:w="0" w:type="dxa"/>
          <w:left w:w="57" w:type="dxa"/>
          <w:bottom w:w="0" w:type="dxa"/>
          <w:right w:w="57" w:type="dxa"/>
        </w:tblCellMar>
      </w:tblPr>
      <w:tblGrid>
        <w:gridCol w:w="2642"/>
        <w:gridCol w:w="2890"/>
        <w:gridCol w:w="2888"/>
      </w:tblGrid>
      <w:tr>
        <w:tblPrEx>
          <w:tblCellMar>
            <w:top w:w="0" w:type="dxa"/>
            <w:left w:w="57" w:type="dxa"/>
            <w:bottom w:w="0" w:type="dxa"/>
            <w:right w:w="57" w:type="dxa"/>
          </w:tblCellMar>
        </w:tblPrEx>
        <w:trPr>
          <w:trHeight w:val="454" w:hRule="atLeast"/>
        </w:trPr>
        <w:tc>
          <w:tcPr>
            <w:tcW w:w="3285" w:type="pct"/>
            <w:gridSpan w:val="2"/>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b/>
                <w:color w:val="auto"/>
                <w:sz w:val="24"/>
                <w:szCs w:val="24"/>
              </w:rPr>
            </w:pPr>
            <w:r>
              <w:rPr>
                <w:rFonts w:hint="eastAsia"/>
                <w:b/>
                <w:color w:val="auto"/>
                <w:sz w:val="24"/>
                <w:szCs w:val="24"/>
              </w:rPr>
              <w:t>项目</w:t>
            </w:r>
          </w:p>
        </w:tc>
        <w:tc>
          <w:tcPr>
            <w:tcW w:w="171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color w:val="auto"/>
                <w:sz w:val="24"/>
                <w:szCs w:val="24"/>
              </w:rPr>
            </w:pPr>
            <w:r>
              <w:rPr>
                <w:rFonts w:hint="eastAsia"/>
                <w:b/>
                <w:color w:val="auto"/>
                <w:sz w:val="24"/>
                <w:szCs w:val="24"/>
              </w:rPr>
              <w:t>指标</w:t>
            </w:r>
          </w:p>
        </w:tc>
      </w:tr>
      <w:tr>
        <w:tblPrEx>
          <w:tblCellMar>
            <w:top w:w="0" w:type="dxa"/>
            <w:left w:w="57" w:type="dxa"/>
            <w:bottom w:w="0" w:type="dxa"/>
            <w:right w:w="57" w:type="dxa"/>
          </w:tblCellMar>
        </w:tblPrEx>
        <w:trPr>
          <w:trHeight w:val="454" w:hRule="atLeast"/>
        </w:trPr>
        <w:tc>
          <w:tcPr>
            <w:tcW w:w="156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钢化电耗</w:t>
            </w:r>
          </w:p>
        </w:tc>
        <w:tc>
          <w:tcPr>
            <w:tcW w:w="1716"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5线</w:t>
            </w:r>
          </w:p>
        </w:tc>
        <w:tc>
          <w:tcPr>
            <w:tcW w:w="171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sz w:val="24"/>
                <w:szCs w:val="24"/>
              </w:rPr>
            </w:pPr>
            <w:r>
              <w:rPr>
                <w:color w:val="auto"/>
                <w:sz w:val="24"/>
                <w:szCs w:val="24"/>
              </w:rPr>
              <w:t>3.13 k</w:t>
            </w:r>
            <w:r>
              <w:rPr>
                <w:rFonts w:hint="eastAsia"/>
                <w:color w:val="auto"/>
                <w:sz w:val="24"/>
                <w:szCs w:val="24"/>
              </w:rPr>
              <w:t>W</w:t>
            </w:r>
            <w:r>
              <w:rPr>
                <w:color w:val="auto"/>
                <w:sz w:val="24"/>
                <w:szCs w:val="24"/>
              </w:rPr>
              <w:t>·</w:t>
            </w:r>
            <w:r>
              <w:rPr>
                <w:rFonts w:hint="eastAsia"/>
                <w:color w:val="auto"/>
                <w:sz w:val="24"/>
                <w:szCs w:val="24"/>
              </w:rPr>
              <w:t>h/m</w:t>
            </w:r>
            <w:r>
              <w:rPr>
                <w:rFonts w:hint="eastAsia"/>
                <w:color w:val="auto"/>
                <w:sz w:val="24"/>
                <w:szCs w:val="24"/>
                <w:vertAlign w:val="superscript"/>
              </w:rPr>
              <w:t>2</w:t>
            </w:r>
          </w:p>
        </w:tc>
      </w:tr>
      <w:tr>
        <w:tblPrEx>
          <w:tblCellMar>
            <w:top w:w="0" w:type="dxa"/>
            <w:left w:w="57" w:type="dxa"/>
            <w:bottom w:w="0" w:type="dxa"/>
            <w:right w:w="57" w:type="dxa"/>
          </w:tblCellMar>
        </w:tblPrEx>
        <w:trPr>
          <w:trHeight w:val="454" w:hRule="atLeast"/>
        </w:trPr>
        <w:tc>
          <w:tcPr>
            <w:tcW w:w="1569"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color w:val="auto"/>
                <w:sz w:val="24"/>
                <w:szCs w:val="24"/>
              </w:rPr>
            </w:pPr>
          </w:p>
        </w:tc>
        <w:tc>
          <w:tcPr>
            <w:tcW w:w="17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7线</w:t>
            </w:r>
          </w:p>
        </w:tc>
        <w:tc>
          <w:tcPr>
            <w:tcW w:w="1715" w:type="pct"/>
            <w:tcBorders>
              <w:top w:val="nil"/>
              <w:left w:val="nil"/>
              <w:bottom w:val="single" w:color="auto" w:sz="4" w:space="0"/>
              <w:right w:val="single" w:color="auto" w:sz="4" w:space="0"/>
            </w:tcBorders>
            <w:vAlign w:val="center"/>
          </w:tcPr>
          <w:p>
            <w:pPr>
              <w:spacing w:line="240" w:lineRule="auto"/>
              <w:ind w:firstLine="0" w:firstLineChars="0"/>
              <w:jc w:val="center"/>
              <w:rPr>
                <w:color w:val="auto"/>
                <w:sz w:val="24"/>
                <w:szCs w:val="24"/>
              </w:rPr>
            </w:pPr>
            <w:r>
              <w:rPr>
                <w:color w:val="auto"/>
                <w:sz w:val="24"/>
                <w:szCs w:val="24"/>
              </w:rPr>
              <w:t>3.16 k</w:t>
            </w:r>
            <w:r>
              <w:rPr>
                <w:rFonts w:hint="eastAsia"/>
                <w:color w:val="auto"/>
                <w:sz w:val="24"/>
                <w:szCs w:val="24"/>
              </w:rPr>
              <w:t>W</w:t>
            </w:r>
            <w:r>
              <w:rPr>
                <w:color w:val="auto"/>
                <w:sz w:val="24"/>
                <w:szCs w:val="24"/>
              </w:rPr>
              <w:t>·</w:t>
            </w:r>
            <w:r>
              <w:rPr>
                <w:rFonts w:hint="eastAsia"/>
                <w:color w:val="auto"/>
                <w:sz w:val="24"/>
                <w:szCs w:val="24"/>
              </w:rPr>
              <w:t>h/m</w:t>
            </w:r>
            <w:r>
              <w:rPr>
                <w:rFonts w:hint="eastAsia"/>
                <w:color w:val="auto"/>
                <w:sz w:val="24"/>
                <w:szCs w:val="24"/>
                <w:vertAlign w:val="superscript"/>
              </w:rPr>
              <w:t>2</w:t>
            </w:r>
          </w:p>
        </w:tc>
      </w:tr>
      <w:tr>
        <w:tblPrEx>
          <w:tblCellMar>
            <w:top w:w="0" w:type="dxa"/>
            <w:left w:w="57" w:type="dxa"/>
            <w:bottom w:w="0" w:type="dxa"/>
            <w:right w:w="57" w:type="dxa"/>
          </w:tblCellMar>
        </w:tblPrEx>
        <w:trPr>
          <w:trHeight w:val="454" w:hRule="atLeast"/>
        </w:trPr>
        <w:tc>
          <w:tcPr>
            <w:tcW w:w="1569"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color w:val="auto"/>
                <w:sz w:val="24"/>
                <w:szCs w:val="24"/>
              </w:rPr>
            </w:pPr>
          </w:p>
        </w:tc>
        <w:tc>
          <w:tcPr>
            <w:tcW w:w="17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平均</w:t>
            </w:r>
          </w:p>
        </w:tc>
        <w:tc>
          <w:tcPr>
            <w:tcW w:w="1715" w:type="pct"/>
            <w:tcBorders>
              <w:top w:val="nil"/>
              <w:left w:val="nil"/>
              <w:bottom w:val="single" w:color="auto" w:sz="4" w:space="0"/>
              <w:right w:val="single" w:color="auto" w:sz="4" w:space="0"/>
            </w:tcBorders>
            <w:vAlign w:val="center"/>
          </w:tcPr>
          <w:p>
            <w:pPr>
              <w:spacing w:line="240" w:lineRule="auto"/>
              <w:ind w:firstLine="0" w:firstLineChars="0"/>
              <w:jc w:val="center"/>
              <w:rPr>
                <w:color w:val="auto"/>
                <w:sz w:val="24"/>
                <w:szCs w:val="24"/>
              </w:rPr>
            </w:pPr>
            <w:r>
              <w:rPr>
                <w:color w:val="auto"/>
                <w:sz w:val="24"/>
                <w:szCs w:val="24"/>
              </w:rPr>
              <w:t>3.14 k</w:t>
            </w:r>
            <w:r>
              <w:rPr>
                <w:rFonts w:hint="eastAsia"/>
                <w:color w:val="auto"/>
                <w:sz w:val="24"/>
                <w:szCs w:val="24"/>
              </w:rPr>
              <w:t>W</w:t>
            </w:r>
            <w:r>
              <w:rPr>
                <w:color w:val="auto"/>
                <w:sz w:val="24"/>
                <w:szCs w:val="24"/>
              </w:rPr>
              <w:t>·</w:t>
            </w:r>
            <w:r>
              <w:rPr>
                <w:rFonts w:hint="eastAsia"/>
                <w:color w:val="auto"/>
                <w:sz w:val="24"/>
                <w:szCs w:val="24"/>
              </w:rPr>
              <w:t>h/m</w:t>
            </w:r>
            <w:r>
              <w:rPr>
                <w:rFonts w:hint="eastAsia"/>
                <w:color w:val="auto"/>
                <w:sz w:val="24"/>
                <w:szCs w:val="24"/>
                <w:vertAlign w:val="superscript"/>
              </w:rPr>
              <w:t>2</w:t>
            </w:r>
          </w:p>
        </w:tc>
      </w:tr>
      <w:tr>
        <w:tblPrEx>
          <w:tblCellMar>
            <w:top w:w="0" w:type="dxa"/>
            <w:left w:w="57" w:type="dxa"/>
            <w:bottom w:w="0" w:type="dxa"/>
            <w:right w:w="57" w:type="dxa"/>
          </w:tblCellMar>
        </w:tblPrEx>
        <w:trPr>
          <w:trHeight w:val="454" w:hRule="atLeast"/>
        </w:trPr>
        <w:tc>
          <w:tcPr>
            <w:tcW w:w="1569"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夹层电耗</w:t>
            </w:r>
          </w:p>
        </w:tc>
        <w:tc>
          <w:tcPr>
            <w:tcW w:w="1716"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color w:val="auto"/>
                <w:sz w:val="24"/>
                <w:szCs w:val="24"/>
              </w:rPr>
            </w:pPr>
            <w:r>
              <w:rPr>
                <w:rFonts w:hint="eastAsia"/>
                <w:color w:val="auto"/>
                <w:sz w:val="24"/>
                <w:szCs w:val="24"/>
              </w:rPr>
              <w:t>1/2线</w:t>
            </w:r>
          </w:p>
        </w:tc>
        <w:tc>
          <w:tcPr>
            <w:tcW w:w="1715" w:type="pct"/>
            <w:tcBorders>
              <w:top w:val="nil"/>
              <w:left w:val="nil"/>
              <w:bottom w:val="single" w:color="auto" w:sz="4" w:space="0"/>
              <w:right w:val="single" w:color="auto" w:sz="4" w:space="0"/>
            </w:tcBorders>
            <w:vAlign w:val="center"/>
          </w:tcPr>
          <w:p>
            <w:pPr>
              <w:spacing w:line="240" w:lineRule="auto"/>
              <w:ind w:firstLine="0" w:firstLineChars="0"/>
              <w:jc w:val="center"/>
              <w:rPr>
                <w:color w:val="auto"/>
                <w:sz w:val="24"/>
                <w:szCs w:val="24"/>
              </w:rPr>
            </w:pPr>
            <w:r>
              <w:rPr>
                <w:color w:val="auto"/>
                <w:sz w:val="24"/>
                <w:szCs w:val="24"/>
              </w:rPr>
              <w:t>3.37 k</w:t>
            </w:r>
            <w:r>
              <w:rPr>
                <w:rFonts w:hint="eastAsia"/>
                <w:color w:val="auto"/>
                <w:sz w:val="24"/>
                <w:szCs w:val="24"/>
              </w:rPr>
              <w:t>W</w:t>
            </w:r>
            <w:r>
              <w:rPr>
                <w:color w:val="auto"/>
                <w:sz w:val="24"/>
                <w:szCs w:val="24"/>
              </w:rPr>
              <w:t>·</w:t>
            </w:r>
            <w:r>
              <w:rPr>
                <w:rFonts w:hint="eastAsia"/>
                <w:color w:val="auto"/>
                <w:sz w:val="24"/>
                <w:szCs w:val="24"/>
              </w:rPr>
              <w:t>h/m</w:t>
            </w:r>
            <w:r>
              <w:rPr>
                <w:rFonts w:hint="eastAsia"/>
                <w:color w:val="auto"/>
                <w:sz w:val="24"/>
                <w:szCs w:val="24"/>
                <w:vertAlign w:val="superscript"/>
              </w:rPr>
              <w:t>2</w:t>
            </w:r>
          </w:p>
        </w:tc>
      </w:tr>
      <w:tr>
        <w:tblPrEx>
          <w:tblCellMar>
            <w:top w:w="0" w:type="dxa"/>
            <w:left w:w="57" w:type="dxa"/>
            <w:bottom w:w="0" w:type="dxa"/>
            <w:right w:w="57" w:type="dxa"/>
          </w:tblCellMar>
        </w:tblPrEx>
        <w:trPr>
          <w:trHeight w:val="454" w:hRule="atLeast"/>
        </w:trPr>
        <w:tc>
          <w:tcPr>
            <w:tcW w:w="3285"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spacing w:line="240" w:lineRule="auto"/>
              <w:ind w:firstLine="0" w:firstLineChars="0"/>
              <w:jc w:val="center"/>
              <w:rPr>
                <w:color w:val="auto"/>
                <w:sz w:val="24"/>
                <w:szCs w:val="24"/>
              </w:rPr>
            </w:pPr>
            <w:r>
              <w:rPr>
                <w:rFonts w:hint="eastAsia"/>
                <w:color w:val="auto"/>
                <w:sz w:val="24"/>
                <w:szCs w:val="24"/>
              </w:rPr>
              <w:t>用水定额</w:t>
            </w:r>
          </w:p>
        </w:tc>
        <w:tc>
          <w:tcPr>
            <w:tcW w:w="1715" w:type="pct"/>
            <w:tcBorders>
              <w:top w:val="single" w:color="auto" w:sz="4" w:space="0"/>
              <w:left w:val="single" w:color="auto" w:sz="4" w:space="0"/>
              <w:bottom w:val="single" w:color="auto" w:sz="4" w:space="0"/>
              <w:right w:val="single" w:color="000000" w:sz="4" w:space="0"/>
            </w:tcBorders>
            <w:vAlign w:val="center"/>
          </w:tcPr>
          <w:p>
            <w:pPr>
              <w:spacing w:line="240" w:lineRule="auto"/>
              <w:ind w:firstLine="0" w:firstLineChars="0"/>
              <w:jc w:val="center"/>
              <w:rPr>
                <w:color w:val="auto"/>
                <w:sz w:val="24"/>
                <w:szCs w:val="24"/>
              </w:rPr>
            </w:pPr>
            <w:r>
              <w:rPr>
                <w:color w:val="auto"/>
                <w:sz w:val="24"/>
                <w:szCs w:val="24"/>
              </w:rPr>
              <w:t xml:space="preserve">0.009 </w:t>
            </w:r>
            <w:r>
              <w:rPr>
                <w:rFonts w:hint="eastAsia"/>
                <w:color w:val="auto"/>
                <w:sz w:val="24"/>
                <w:szCs w:val="24"/>
              </w:rPr>
              <w:t>m</w:t>
            </w:r>
            <w:r>
              <w:rPr>
                <w:rFonts w:hint="eastAsia"/>
                <w:color w:val="auto"/>
                <w:sz w:val="24"/>
                <w:szCs w:val="24"/>
                <w:vertAlign w:val="superscript"/>
              </w:rPr>
              <w:t>3</w:t>
            </w:r>
            <w:r>
              <w:rPr>
                <w:rFonts w:hint="eastAsia"/>
                <w:color w:val="auto"/>
                <w:sz w:val="24"/>
                <w:szCs w:val="24"/>
              </w:rPr>
              <w:t>/m</w:t>
            </w:r>
            <w:r>
              <w:rPr>
                <w:rFonts w:hint="eastAsia"/>
                <w:color w:val="auto"/>
                <w:sz w:val="24"/>
                <w:szCs w:val="24"/>
                <w:vertAlign w:val="superscript"/>
              </w:rPr>
              <w:t>2</w:t>
            </w:r>
          </w:p>
        </w:tc>
      </w:tr>
      <w:tr>
        <w:tblPrEx>
          <w:tblCellMar>
            <w:top w:w="0" w:type="dxa"/>
            <w:left w:w="57" w:type="dxa"/>
            <w:bottom w:w="0" w:type="dxa"/>
            <w:right w:w="57" w:type="dxa"/>
          </w:tblCellMar>
        </w:tblPrEx>
        <w:trPr>
          <w:trHeight w:val="454" w:hRule="atLeast"/>
        </w:trPr>
        <w:tc>
          <w:tcPr>
            <w:tcW w:w="3285"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spacing w:line="240" w:lineRule="auto"/>
              <w:ind w:firstLine="0" w:firstLineChars="0"/>
              <w:jc w:val="center"/>
              <w:rPr>
                <w:color w:val="auto"/>
                <w:sz w:val="24"/>
                <w:szCs w:val="24"/>
              </w:rPr>
            </w:pPr>
            <w:r>
              <w:rPr>
                <w:rFonts w:hint="eastAsia"/>
                <w:color w:val="auto"/>
                <w:sz w:val="24"/>
                <w:szCs w:val="24"/>
              </w:rPr>
              <w:t>水资源重复利用率</w:t>
            </w:r>
          </w:p>
        </w:tc>
        <w:tc>
          <w:tcPr>
            <w:tcW w:w="1715" w:type="pct"/>
            <w:tcBorders>
              <w:top w:val="single" w:color="auto" w:sz="4" w:space="0"/>
              <w:left w:val="single" w:color="auto" w:sz="4" w:space="0"/>
              <w:bottom w:val="single" w:color="auto" w:sz="4" w:space="0"/>
              <w:right w:val="single" w:color="000000" w:sz="4" w:space="0"/>
            </w:tcBorders>
            <w:vAlign w:val="center"/>
          </w:tcPr>
          <w:p>
            <w:pPr>
              <w:spacing w:line="240" w:lineRule="auto"/>
              <w:ind w:firstLine="0" w:firstLineChars="0"/>
              <w:jc w:val="center"/>
              <w:rPr>
                <w:color w:val="auto"/>
                <w:sz w:val="24"/>
                <w:szCs w:val="24"/>
              </w:rPr>
            </w:pPr>
            <w:r>
              <w:rPr>
                <w:color w:val="auto"/>
                <w:sz w:val="24"/>
                <w:szCs w:val="24"/>
              </w:rPr>
              <w:t>92%</w:t>
            </w:r>
          </w:p>
        </w:tc>
      </w:tr>
    </w:tbl>
    <w:p>
      <w:pPr>
        <w:spacing w:line="240" w:lineRule="auto"/>
        <w:ind w:firstLine="0" w:firstLineChars="0"/>
        <w:rPr>
          <w:color w:val="auto"/>
          <w:sz w:val="21"/>
        </w:rPr>
      </w:pPr>
    </w:p>
    <w:p>
      <w:pPr>
        <w:ind w:firstLine="560"/>
        <w:rPr>
          <w:color w:val="auto"/>
        </w:rPr>
      </w:pPr>
      <w:r>
        <w:rPr>
          <w:rFonts w:hint="eastAsia"/>
          <w:color w:val="auto"/>
        </w:rPr>
        <w:t>咸宁南玻光电玻璃有限公司生产的高铝硅酸盐盖板玻璃不属于平板玻璃行业，属于新材料行业，暂无具体的行业能耗标准，其单位生产能耗约为1.4t</w:t>
      </w:r>
      <w:r>
        <w:rPr>
          <w:color w:val="auto"/>
        </w:rPr>
        <w:t>ce</w:t>
      </w:r>
      <w:r>
        <w:rPr>
          <w:rFonts w:hint="eastAsia"/>
          <w:color w:val="auto"/>
        </w:rPr>
        <w:t>/t玻璃液，与主要竞争对手对标均保持国内和国际先进水平。</w:t>
      </w:r>
    </w:p>
    <w:p>
      <w:pPr>
        <w:ind w:firstLine="560"/>
        <w:rPr>
          <w:color w:val="auto"/>
        </w:rPr>
      </w:pPr>
      <w:r>
        <w:rPr>
          <w:rFonts w:hint="eastAsia"/>
          <w:color w:val="auto"/>
        </w:rPr>
        <w:t>整体而言，咸宁高新区玻璃制造行业三家主要企业采用的工艺及设备先进、节能措施和节能管理实施到位，能耗水平处于国内先进水平。</w:t>
      </w:r>
    </w:p>
    <w:p>
      <w:pPr>
        <w:pStyle w:val="4"/>
        <w:ind w:firstLine="602"/>
        <w:rPr>
          <w:color w:val="auto"/>
        </w:rPr>
      </w:pPr>
      <w:bookmarkStart w:id="46" w:name="_Toc40625181"/>
      <w:r>
        <w:rPr>
          <w:color w:val="auto"/>
        </w:rPr>
        <w:t>5.2.2</w:t>
      </w:r>
      <w:r>
        <w:rPr>
          <w:rFonts w:hint="eastAsia"/>
          <w:color w:val="auto"/>
        </w:rPr>
        <w:t>饮料制造</w:t>
      </w:r>
      <w:bookmarkEnd w:id="46"/>
    </w:p>
    <w:p>
      <w:pPr>
        <w:ind w:firstLine="560"/>
        <w:rPr>
          <w:color w:val="auto"/>
        </w:rPr>
      </w:pPr>
      <w:r>
        <w:rPr>
          <w:rFonts w:hint="eastAsia"/>
          <w:color w:val="auto"/>
        </w:rPr>
        <w:t>区内饮料</w:t>
      </w:r>
      <w:r>
        <w:rPr>
          <w:color w:val="auto"/>
        </w:rPr>
        <w:t>生产企业主要为</w:t>
      </w:r>
      <w:r>
        <w:rPr>
          <w:rFonts w:hint="eastAsia"/>
          <w:color w:val="auto"/>
        </w:rPr>
        <w:t>湖北奥瑞金饮料工业有限公司、今麦郎饮品（咸宁）有限公司及红牛维他命饮料（湖北）有限公司，</w:t>
      </w:r>
    </w:p>
    <w:p>
      <w:pPr>
        <w:ind w:firstLine="560"/>
        <w:rPr>
          <w:color w:val="auto"/>
        </w:rPr>
      </w:pPr>
      <w:r>
        <w:rPr>
          <w:rFonts w:hint="eastAsia"/>
          <w:color w:val="auto"/>
        </w:rPr>
        <w:t>根据</w:t>
      </w:r>
      <w:r>
        <w:rPr>
          <w:color w:val="auto"/>
        </w:rPr>
        <w:t>《</w:t>
      </w:r>
      <w:r>
        <w:rPr>
          <w:rFonts w:hint="eastAsia"/>
          <w:color w:val="auto"/>
        </w:rPr>
        <w:t>饮料制造综合能耗限额</w:t>
      </w:r>
      <w:r>
        <w:rPr>
          <w:color w:val="auto"/>
        </w:rPr>
        <w:t>》</w:t>
      </w:r>
      <w:r>
        <w:rPr>
          <w:rFonts w:hint="eastAsia"/>
          <w:color w:val="auto"/>
        </w:rPr>
        <w:t>（QBT 4069-2010），饮料产品能耗限额标准如下表所示：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11</w:t>
      </w:r>
      <w:r>
        <w:rPr>
          <w:color w:val="auto"/>
        </w:rPr>
        <w:fldChar w:fldCharType="end"/>
      </w:r>
      <w:r>
        <w:rPr>
          <w:color w:val="auto"/>
        </w:rPr>
        <w:t xml:space="preserve"> </w:t>
      </w:r>
      <w:r>
        <w:rPr>
          <w:rFonts w:hint="eastAsia"/>
          <w:color w:val="auto"/>
        </w:rPr>
        <w:t>饮料制造综合能耗限额</w:t>
      </w:r>
    </w:p>
    <w:tbl>
      <w:tblPr>
        <w:tblStyle w:val="24"/>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6"/>
        <w:gridCol w:w="879"/>
        <w:gridCol w:w="851"/>
        <w:gridCol w:w="3433"/>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446" w:type="dxa"/>
            <w:vAlign w:val="center"/>
          </w:tcPr>
          <w:p>
            <w:pPr>
              <w:spacing w:line="240" w:lineRule="auto"/>
              <w:ind w:firstLine="0" w:firstLineChars="0"/>
              <w:jc w:val="center"/>
              <w:rPr>
                <w:b/>
                <w:color w:val="auto"/>
                <w:sz w:val="24"/>
              </w:rPr>
            </w:pPr>
            <w:r>
              <w:rPr>
                <w:rFonts w:hint="eastAsia"/>
                <w:b/>
                <w:color w:val="auto"/>
                <w:sz w:val="24"/>
              </w:rPr>
              <w:t>饮料</w:t>
            </w:r>
            <w:r>
              <w:rPr>
                <w:b/>
                <w:color w:val="auto"/>
                <w:sz w:val="24"/>
              </w:rPr>
              <w:t>种类</w:t>
            </w:r>
          </w:p>
        </w:tc>
        <w:tc>
          <w:tcPr>
            <w:tcW w:w="1730" w:type="dxa"/>
            <w:gridSpan w:val="2"/>
            <w:vAlign w:val="center"/>
          </w:tcPr>
          <w:p>
            <w:pPr>
              <w:spacing w:line="240" w:lineRule="auto"/>
              <w:ind w:firstLine="0" w:firstLineChars="0"/>
              <w:jc w:val="center"/>
              <w:rPr>
                <w:b/>
                <w:color w:val="auto"/>
                <w:sz w:val="24"/>
              </w:rPr>
            </w:pPr>
            <w:r>
              <w:rPr>
                <w:rFonts w:hint="eastAsia"/>
                <w:b/>
                <w:color w:val="auto"/>
                <w:sz w:val="24"/>
              </w:rPr>
              <w:t>综合</w:t>
            </w:r>
            <w:r>
              <w:rPr>
                <w:b/>
                <w:color w:val="auto"/>
                <w:sz w:val="24"/>
              </w:rPr>
              <w:t>能耗限额（</w:t>
            </w:r>
            <w:r>
              <w:rPr>
                <w:rFonts w:hint="eastAsia"/>
                <w:b/>
                <w:color w:val="auto"/>
                <w:sz w:val="24"/>
              </w:rPr>
              <w:t>kgce</w:t>
            </w:r>
            <w:r>
              <w:rPr>
                <w:b/>
                <w:color w:val="auto"/>
                <w:sz w:val="24"/>
              </w:rPr>
              <w:t>/t）</w:t>
            </w:r>
          </w:p>
        </w:tc>
        <w:tc>
          <w:tcPr>
            <w:tcW w:w="3433" w:type="dxa"/>
            <w:vAlign w:val="center"/>
          </w:tcPr>
          <w:p>
            <w:pPr>
              <w:spacing w:line="240" w:lineRule="auto"/>
              <w:ind w:firstLine="0" w:firstLineChars="0"/>
              <w:jc w:val="center"/>
              <w:rPr>
                <w:b/>
                <w:color w:val="auto"/>
                <w:sz w:val="24"/>
              </w:rPr>
            </w:pPr>
            <w:r>
              <w:rPr>
                <w:rFonts w:hint="eastAsia"/>
                <w:b/>
                <w:color w:val="auto"/>
                <w:sz w:val="24"/>
              </w:rPr>
              <w:t>综合</w:t>
            </w:r>
            <w:r>
              <w:rPr>
                <w:b/>
                <w:color w:val="auto"/>
                <w:sz w:val="24"/>
              </w:rPr>
              <w:t>能耗限额的调节系数</w:t>
            </w:r>
          </w:p>
        </w:tc>
        <w:tc>
          <w:tcPr>
            <w:tcW w:w="1811" w:type="dxa"/>
            <w:vAlign w:val="center"/>
          </w:tcPr>
          <w:p>
            <w:pPr>
              <w:spacing w:line="240" w:lineRule="auto"/>
              <w:ind w:firstLine="0" w:firstLineChars="0"/>
              <w:jc w:val="center"/>
              <w:rPr>
                <w:b/>
                <w:color w:val="auto"/>
                <w:sz w:val="24"/>
              </w:rPr>
            </w:pPr>
            <w:r>
              <w:rPr>
                <w:rFonts w:hint="eastAsia"/>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碳酸</w:t>
            </w:r>
            <w:r>
              <w:rPr>
                <w:color w:val="auto"/>
                <w:sz w:val="21"/>
              </w:rPr>
              <w:t>饮料</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rFonts w:hint="eastAsia"/>
                <w:color w:val="auto"/>
                <w:sz w:val="21"/>
              </w:rPr>
              <w:t>20</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自制PET瓶1.8</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w:t>
            </w:r>
            <w:r>
              <w:rPr>
                <w:rFonts w:hint="eastAsia"/>
                <w:color w:val="auto"/>
                <w:sz w:val="21"/>
              </w:rPr>
              <w:t>1.5</w:t>
            </w:r>
          </w:p>
          <w:p>
            <w:pPr>
              <w:spacing w:line="300" w:lineRule="exact"/>
              <w:ind w:firstLine="0" w:firstLineChars="0"/>
              <w:jc w:val="left"/>
              <w:rPr>
                <w:color w:val="auto"/>
                <w:sz w:val="21"/>
              </w:rPr>
            </w:pPr>
            <w:r>
              <w:rPr>
                <w:color w:val="auto"/>
                <w:sz w:val="21"/>
              </w:rPr>
              <w:t>3</w:t>
            </w:r>
            <w:r>
              <w:rPr>
                <w:rFonts w:hint="eastAsia"/>
                <w:color w:val="auto"/>
                <w:sz w:val="21"/>
              </w:rPr>
              <w:t>、</w:t>
            </w:r>
            <w:r>
              <w:rPr>
                <w:color w:val="auto"/>
                <w:sz w:val="21"/>
              </w:rPr>
              <w:t>回收玻璃瓶</w:t>
            </w:r>
            <w:r>
              <w:rPr>
                <w:rFonts w:hint="eastAsia"/>
                <w:color w:val="auto"/>
                <w:sz w:val="21"/>
              </w:rPr>
              <w:t>3</w:t>
            </w:r>
          </w:p>
        </w:tc>
        <w:tc>
          <w:tcPr>
            <w:tcW w:w="1811" w:type="dxa"/>
            <w:vMerge w:val="restart"/>
            <w:vAlign w:val="center"/>
          </w:tcPr>
          <w:p>
            <w:pPr>
              <w:spacing w:line="300" w:lineRule="exact"/>
              <w:ind w:firstLine="0" w:firstLineChars="0"/>
              <w:jc w:val="center"/>
              <w:rPr>
                <w:color w:val="auto"/>
                <w:sz w:val="21"/>
              </w:rPr>
            </w:pPr>
            <w:r>
              <w:rPr>
                <w:rFonts w:hint="eastAsia"/>
                <w:color w:val="auto"/>
                <w:sz w:val="21"/>
              </w:rPr>
              <w:t>PET</w:t>
            </w:r>
            <w:r>
              <w:rPr>
                <w:color w:val="auto"/>
                <w:sz w:val="21"/>
              </w:rPr>
              <w:t>瓶、金属罐和一次性玻璃瓶外购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rFonts w:hint="eastAsia"/>
                <w:color w:val="auto"/>
                <w:sz w:val="21"/>
              </w:rPr>
              <w:t>15</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自制PET瓶2</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w:t>
            </w:r>
            <w:r>
              <w:rPr>
                <w:rFonts w:hint="eastAsia"/>
                <w:color w:val="auto"/>
                <w:sz w:val="21"/>
              </w:rPr>
              <w:t>1.</w:t>
            </w:r>
            <w:r>
              <w:rPr>
                <w:color w:val="auto"/>
                <w:sz w:val="21"/>
              </w:rPr>
              <w:t>6</w:t>
            </w:r>
          </w:p>
          <w:p>
            <w:pPr>
              <w:spacing w:line="300" w:lineRule="exact"/>
              <w:ind w:firstLine="0" w:firstLineChars="0"/>
              <w:jc w:val="left"/>
              <w:rPr>
                <w:color w:val="auto"/>
                <w:sz w:val="21"/>
              </w:rPr>
            </w:pPr>
            <w:r>
              <w:rPr>
                <w:color w:val="auto"/>
                <w:sz w:val="21"/>
              </w:rPr>
              <w:t>3</w:t>
            </w:r>
            <w:r>
              <w:rPr>
                <w:rFonts w:hint="eastAsia"/>
                <w:color w:val="auto"/>
                <w:sz w:val="21"/>
              </w:rPr>
              <w:t>、</w:t>
            </w:r>
            <w:r>
              <w:rPr>
                <w:color w:val="auto"/>
                <w:sz w:val="21"/>
              </w:rPr>
              <w:t>回收玻璃瓶</w:t>
            </w:r>
            <w:r>
              <w:rPr>
                <w:rFonts w:hint="eastAsia"/>
                <w:color w:val="auto"/>
                <w:sz w:val="21"/>
              </w:rPr>
              <w:t>3</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rFonts w:hint="eastAsia"/>
                <w:color w:val="auto"/>
                <w:sz w:val="21"/>
              </w:rPr>
              <w:t>9</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自制PET瓶2.5</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外购PET瓶坯，自吹瓶2</w:t>
            </w:r>
          </w:p>
          <w:p>
            <w:pPr>
              <w:spacing w:line="300" w:lineRule="exact"/>
              <w:ind w:firstLine="0" w:firstLineChars="0"/>
              <w:jc w:val="left"/>
              <w:rPr>
                <w:color w:val="auto"/>
                <w:sz w:val="21"/>
              </w:rPr>
            </w:pPr>
            <w:r>
              <w:rPr>
                <w:color w:val="auto"/>
                <w:sz w:val="21"/>
              </w:rPr>
              <w:t>3</w:t>
            </w:r>
            <w:r>
              <w:rPr>
                <w:rFonts w:hint="eastAsia"/>
                <w:color w:val="auto"/>
                <w:sz w:val="21"/>
              </w:rPr>
              <w:t>、</w:t>
            </w:r>
            <w:r>
              <w:rPr>
                <w:color w:val="auto"/>
                <w:sz w:val="21"/>
              </w:rPr>
              <w:t>回收玻璃瓶1</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包装</w:t>
            </w:r>
            <w:r>
              <w:rPr>
                <w:color w:val="auto"/>
                <w:sz w:val="21"/>
              </w:rPr>
              <w:t>饮用水</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color w:val="auto"/>
                <w:sz w:val="21"/>
              </w:rPr>
              <w:t>8</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自制PET瓶2.3</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外购PET瓶坯，自吹瓶1.8</w:t>
            </w:r>
          </w:p>
          <w:p>
            <w:pPr>
              <w:spacing w:line="300" w:lineRule="exact"/>
              <w:ind w:firstLine="0" w:firstLineChars="0"/>
              <w:jc w:val="left"/>
              <w:rPr>
                <w:color w:val="auto"/>
                <w:sz w:val="21"/>
              </w:rPr>
            </w:pPr>
            <w:r>
              <w:rPr>
                <w:color w:val="auto"/>
                <w:sz w:val="21"/>
              </w:rPr>
              <w:t>3</w:t>
            </w:r>
            <w:r>
              <w:rPr>
                <w:rFonts w:hint="eastAsia"/>
                <w:color w:val="auto"/>
                <w:sz w:val="21"/>
              </w:rPr>
              <w:t>、桶装水</w:t>
            </w:r>
            <w:r>
              <w:rPr>
                <w:color w:val="auto"/>
                <w:sz w:val="21"/>
              </w:rPr>
              <w:t>0.6</w:t>
            </w:r>
          </w:p>
        </w:tc>
        <w:tc>
          <w:tcPr>
            <w:tcW w:w="1811" w:type="dxa"/>
            <w:vMerge w:val="restart"/>
            <w:vAlign w:val="center"/>
          </w:tcPr>
          <w:p>
            <w:pPr>
              <w:spacing w:line="300" w:lineRule="exact"/>
              <w:ind w:firstLine="0" w:firstLineChars="0"/>
              <w:jc w:val="center"/>
              <w:rPr>
                <w:color w:val="auto"/>
                <w:sz w:val="21"/>
              </w:rPr>
            </w:pPr>
            <w:r>
              <w:rPr>
                <w:rFonts w:hint="eastAsia"/>
                <w:color w:val="auto"/>
                <w:sz w:val="21"/>
              </w:rPr>
              <w:t>PET</w:t>
            </w:r>
            <w:r>
              <w:rPr>
                <w:color w:val="auto"/>
                <w:sz w:val="21"/>
              </w:rPr>
              <w:t>瓶外购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color w:val="auto"/>
                <w:sz w:val="21"/>
              </w:rPr>
              <w:t>5</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自制PET瓶3</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外购PET瓶坯，自吹瓶2.2</w:t>
            </w:r>
          </w:p>
          <w:p>
            <w:pPr>
              <w:spacing w:line="300" w:lineRule="exact"/>
              <w:ind w:firstLine="0" w:firstLineChars="0"/>
              <w:jc w:val="left"/>
              <w:rPr>
                <w:color w:val="auto"/>
                <w:sz w:val="21"/>
              </w:rPr>
            </w:pPr>
            <w:r>
              <w:rPr>
                <w:color w:val="auto"/>
                <w:sz w:val="21"/>
              </w:rPr>
              <w:t>3</w:t>
            </w:r>
            <w:r>
              <w:rPr>
                <w:rFonts w:hint="eastAsia"/>
                <w:color w:val="auto"/>
                <w:sz w:val="21"/>
              </w:rPr>
              <w:t>、桶装水</w:t>
            </w:r>
            <w:r>
              <w:rPr>
                <w:color w:val="auto"/>
                <w:sz w:val="21"/>
              </w:rPr>
              <w:t>0.6</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color w:val="auto"/>
                <w:sz w:val="21"/>
              </w:rPr>
              <w:t>3</w:t>
            </w:r>
          </w:p>
        </w:tc>
        <w:tc>
          <w:tcPr>
            <w:tcW w:w="3433" w:type="dxa"/>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自制PET瓶3.3</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外购PET瓶坯，自吹瓶2.5</w:t>
            </w:r>
          </w:p>
          <w:p>
            <w:pPr>
              <w:spacing w:line="300" w:lineRule="exact"/>
              <w:ind w:firstLine="0" w:firstLineChars="0"/>
              <w:jc w:val="left"/>
              <w:rPr>
                <w:color w:val="auto"/>
                <w:sz w:val="21"/>
              </w:rPr>
            </w:pPr>
            <w:r>
              <w:rPr>
                <w:color w:val="auto"/>
                <w:sz w:val="21"/>
              </w:rPr>
              <w:t>3</w:t>
            </w:r>
            <w:r>
              <w:rPr>
                <w:rFonts w:hint="eastAsia"/>
                <w:color w:val="auto"/>
                <w:sz w:val="21"/>
              </w:rPr>
              <w:t>、桶装水</w:t>
            </w:r>
            <w:r>
              <w:rPr>
                <w:color w:val="auto"/>
                <w:sz w:val="21"/>
              </w:rPr>
              <w:t>0.6</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茶饮料</w:t>
            </w:r>
          </w:p>
          <w:p>
            <w:pPr>
              <w:spacing w:line="300" w:lineRule="exact"/>
              <w:ind w:firstLine="0" w:firstLineChars="0"/>
              <w:jc w:val="center"/>
              <w:rPr>
                <w:color w:val="auto"/>
                <w:sz w:val="21"/>
              </w:rPr>
            </w:pPr>
            <w:r>
              <w:rPr>
                <w:rFonts w:hint="eastAsia"/>
                <w:color w:val="auto"/>
                <w:sz w:val="21"/>
              </w:rPr>
              <w:t>果蔬汁</w:t>
            </w:r>
            <w:r>
              <w:rPr>
                <w:color w:val="auto"/>
                <w:sz w:val="21"/>
              </w:rPr>
              <w:t>饮料</w:t>
            </w:r>
          </w:p>
          <w:p>
            <w:pPr>
              <w:spacing w:line="300" w:lineRule="exact"/>
              <w:ind w:firstLine="0" w:firstLineChars="0"/>
              <w:jc w:val="center"/>
              <w:rPr>
                <w:color w:val="auto"/>
                <w:sz w:val="21"/>
              </w:rPr>
            </w:pPr>
            <w:r>
              <w:rPr>
                <w:rFonts w:hint="eastAsia"/>
                <w:color w:val="auto"/>
                <w:sz w:val="21"/>
              </w:rPr>
              <w:t>特殊用途</w:t>
            </w:r>
            <w:r>
              <w:rPr>
                <w:color w:val="auto"/>
                <w:sz w:val="21"/>
              </w:rPr>
              <w:t>饮料</w:t>
            </w:r>
          </w:p>
          <w:p>
            <w:pPr>
              <w:spacing w:line="300" w:lineRule="exact"/>
              <w:ind w:firstLine="0" w:firstLineChars="0"/>
              <w:jc w:val="center"/>
              <w:rPr>
                <w:color w:val="auto"/>
                <w:sz w:val="21"/>
              </w:rPr>
            </w:pPr>
            <w:r>
              <w:rPr>
                <w:rFonts w:hint="eastAsia"/>
                <w:color w:val="auto"/>
                <w:sz w:val="21"/>
              </w:rPr>
              <w:t>风味</w:t>
            </w:r>
            <w:r>
              <w:rPr>
                <w:color w:val="auto"/>
                <w:sz w:val="21"/>
              </w:rPr>
              <w:t>饮料</w:t>
            </w:r>
          </w:p>
          <w:p>
            <w:pPr>
              <w:spacing w:line="300" w:lineRule="exact"/>
              <w:ind w:firstLine="0" w:firstLineChars="0"/>
              <w:jc w:val="center"/>
              <w:rPr>
                <w:color w:val="auto"/>
                <w:sz w:val="21"/>
              </w:rPr>
            </w:pPr>
            <w:r>
              <w:rPr>
                <w:rFonts w:hint="eastAsia"/>
                <w:color w:val="auto"/>
                <w:sz w:val="21"/>
              </w:rPr>
              <w:t>植物</w:t>
            </w:r>
            <w:r>
              <w:rPr>
                <w:color w:val="auto"/>
                <w:sz w:val="21"/>
              </w:rPr>
              <w:t>饮料</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rFonts w:hint="eastAsia"/>
                <w:color w:val="auto"/>
                <w:sz w:val="21"/>
              </w:rPr>
              <w:t>40</w:t>
            </w:r>
          </w:p>
        </w:tc>
        <w:tc>
          <w:tcPr>
            <w:tcW w:w="3433" w:type="dxa"/>
            <w:vMerge w:val="restart"/>
            <w:vAlign w:val="center"/>
          </w:tcPr>
          <w:p>
            <w:pPr>
              <w:spacing w:line="300" w:lineRule="exact"/>
              <w:ind w:firstLine="0" w:firstLineChars="0"/>
              <w:jc w:val="left"/>
              <w:rPr>
                <w:color w:val="auto"/>
                <w:sz w:val="21"/>
              </w:rPr>
            </w:pPr>
            <w:r>
              <w:rPr>
                <w:rFonts w:hint="eastAsia"/>
                <w:color w:val="auto"/>
                <w:sz w:val="21"/>
              </w:rPr>
              <w:t>1、</w:t>
            </w:r>
            <w:r>
              <w:rPr>
                <w:color w:val="auto"/>
                <w:sz w:val="21"/>
              </w:rPr>
              <w:t>自制PET瓶1.5</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外购PET瓶坯，自吹瓶1.2</w:t>
            </w:r>
          </w:p>
          <w:p>
            <w:pPr>
              <w:spacing w:line="300" w:lineRule="exact"/>
              <w:ind w:firstLine="0" w:firstLineChars="0"/>
              <w:jc w:val="left"/>
              <w:rPr>
                <w:color w:val="auto"/>
                <w:sz w:val="21"/>
              </w:rPr>
            </w:pPr>
            <w:r>
              <w:rPr>
                <w:color w:val="auto"/>
                <w:sz w:val="21"/>
              </w:rPr>
              <w:t>3</w:t>
            </w:r>
            <w:r>
              <w:rPr>
                <w:rFonts w:hint="eastAsia"/>
                <w:color w:val="auto"/>
                <w:sz w:val="21"/>
              </w:rPr>
              <w:t>、</w:t>
            </w:r>
            <w:r>
              <w:rPr>
                <w:color w:val="auto"/>
                <w:sz w:val="21"/>
              </w:rPr>
              <w:t>纸</w:t>
            </w:r>
            <w:r>
              <w:rPr>
                <w:rFonts w:hint="eastAsia"/>
                <w:color w:val="auto"/>
                <w:sz w:val="21"/>
              </w:rPr>
              <w:t>塑复合</w:t>
            </w:r>
            <w:r>
              <w:rPr>
                <w:color w:val="auto"/>
                <w:sz w:val="21"/>
              </w:rPr>
              <w:t>包装、无菌灌装</w:t>
            </w:r>
            <w:r>
              <w:rPr>
                <w:rFonts w:hint="eastAsia"/>
                <w:color w:val="auto"/>
                <w:sz w:val="21"/>
              </w:rPr>
              <w:t>0.9</w:t>
            </w:r>
          </w:p>
          <w:p>
            <w:pPr>
              <w:spacing w:line="300" w:lineRule="exact"/>
              <w:ind w:firstLine="0" w:firstLineChars="0"/>
              <w:jc w:val="left"/>
              <w:rPr>
                <w:color w:val="auto"/>
                <w:sz w:val="21"/>
              </w:rPr>
            </w:pPr>
            <w:r>
              <w:rPr>
                <w:color w:val="auto"/>
                <w:sz w:val="21"/>
              </w:rPr>
              <w:t>4</w:t>
            </w:r>
            <w:r>
              <w:rPr>
                <w:rFonts w:hint="eastAsia"/>
                <w:color w:val="auto"/>
                <w:sz w:val="21"/>
              </w:rPr>
              <w:t>、</w:t>
            </w:r>
            <w:r>
              <w:rPr>
                <w:color w:val="auto"/>
                <w:sz w:val="21"/>
              </w:rPr>
              <w:t>采用萃取工艺</w:t>
            </w:r>
            <w:r>
              <w:rPr>
                <w:rFonts w:hint="eastAsia"/>
                <w:color w:val="auto"/>
                <w:sz w:val="21"/>
              </w:rPr>
              <w:t>1.3</w:t>
            </w:r>
          </w:p>
          <w:p>
            <w:pPr>
              <w:spacing w:line="300" w:lineRule="exact"/>
              <w:ind w:firstLine="0" w:firstLineChars="0"/>
              <w:jc w:val="left"/>
              <w:rPr>
                <w:color w:val="auto"/>
                <w:sz w:val="21"/>
              </w:rPr>
            </w:pPr>
            <w:r>
              <w:rPr>
                <w:color w:val="auto"/>
                <w:sz w:val="21"/>
              </w:rPr>
              <w:t>5</w:t>
            </w:r>
            <w:r>
              <w:rPr>
                <w:rFonts w:hint="eastAsia"/>
                <w:color w:val="auto"/>
                <w:sz w:val="21"/>
              </w:rPr>
              <w:t>、</w:t>
            </w:r>
            <w:r>
              <w:rPr>
                <w:color w:val="auto"/>
                <w:sz w:val="21"/>
              </w:rPr>
              <w:t>采用果蔬原料直接生产</w:t>
            </w:r>
            <w:r>
              <w:rPr>
                <w:rFonts w:hint="eastAsia"/>
                <w:color w:val="auto"/>
                <w:sz w:val="21"/>
              </w:rPr>
              <w:t>2.5</w:t>
            </w:r>
            <w:r>
              <w:rPr>
                <w:color w:val="auto"/>
                <w:sz w:val="21"/>
              </w:rPr>
              <w:t xml:space="preserve"> </w:t>
            </w:r>
          </w:p>
        </w:tc>
        <w:tc>
          <w:tcPr>
            <w:tcW w:w="1811" w:type="dxa"/>
            <w:vMerge w:val="restart"/>
            <w:vAlign w:val="center"/>
          </w:tcPr>
          <w:p>
            <w:pPr>
              <w:spacing w:line="300" w:lineRule="exact"/>
              <w:ind w:firstLine="0" w:firstLineChars="0"/>
              <w:rPr>
                <w:color w:val="auto"/>
                <w:sz w:val="21"/>
              </w:rPr>
            </w:pPr>
            <w:r>
              <w:rPr>
                <w:rFonts w:hint="eastAsia"/>
                <w:color w:val="auto"/>
                <w:sz w:val="21"/>
              </w:rPr>
              <w:t>1、</w:t>
            </w:r>
            <w:r>
              <w:rPr>
                <w:color w:val="auto"/>
                <w:sz w:val="21"/>
              </w:rPr>
              <w:t>PET瓶外购，热灌装或无菌灌装</w:t>
            </w:r>
          </w:p>
          <w:p>
            <w:pPr>
              <w:spacing w:line="300" w:lineRule="exact"/>
              <w:ind w:firstLine="0" w:firstLineChars="0"/>
              <w:rPr>
                <w:color w:val="auto"/>
                <w:sz w:val="21"/>
              </w:rPr>
            </w:pPr>
            <w:r>
              <w:rPr>
                <w:color w:val="auto"/>
                <w:sz w:val="21"/>
              </w:rPr>
              <w:t>2</w:t>
            </w:r>
            <w:r>
              <w:rPr>
                <w:rFonts w:hint="eastAsia"/>
                <w:color w:val="auto"/>
                <w:sz w:val="21"/>
              </w:rPr>
              <w:t>、</w:t>
            </w:r>
            <w:r>
              <w:rPr>
                <w:color w:val="auto"/>
                <w:sz w:val="21"/>
              </w:rPr>
              <w:t>金属罐或玻璃瓶外购，热灌装</w:t>
            </w:r>
          </w:p>
          <w:p>
            <w:pPr>
              <w:spacing w:line="300" w:lineRule="exact"/>
              <w:ind w:firstLine="0" w:firstLineChars="0"/>
              <w:rPr>
                <w:color w:val="auto"/>
                <w:sz w:val="21"/>
              </w:rPr>
            </w:pPr>
            <w:r>
              <w:rPr>
                <w:color w:val="auto"/>
                <w:sz w:val="21"/>
              </w:rPr>
              <w:t>3</w:t>
            </w:r>
            <w:r>
              <w:rPr>
                <w:rFonts w:hint="eastAsia"/>
                <w:color w:val="auto"/>
                <w:sz w:val="21"/>
              </w:rPr>
              <w:t>、</w:t>
            </w:r>
            <w:r>
              <w:rPr>
                <w:color w:val="auto"/>
                <w:sz w:val="21"/>
              </w:rPr>
              <w:t>果蔬汁原料外购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rFonts w:hint="eastAsia"/>
                <w:color w:val="auto"/>
                <w:sz w:val="21"/>
              </w:rPr>
              <w:t>30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rFonts w:hint="eastAsia"/>
                <w:color w:val="auto"/>
                <w:sz w:val="21"/>
              </w:rPr>
              <w:t>20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植物蛋白饮料</w:t>
            </w:r>
          </w:p>
          <w:p>
            <w:pPr>
              <w:spacing w:line="300" w:lineRule="exact"/>
              <w:ind w:firstLine="0" w:firstLineChars="0"/>
              <w:jc w:val="center"/>
              <w:rPr>
                <w:color w:val="auto"/>
                <w:sz w:val="21"/>
              </w:rPr>
            </w:pPr>
            <w:r>
              <w:rPr>
                <w:rFonts w:hint="eastAsia"/>
                <w:color w:val="auto"/>
                <w:sz w:val="21"/>
              </w:rPr>
              <w:t>复合蛋白</w:t>
            </w:r>
            <w:r>
              <w:rPr>
                <w:color w:val="auto"/>
                <w:sz w:val="21"/>
              </w:rPr>
              <w:t>饮料</w:t>
            </w:r>
          </w:p>
          <w:p>
            <w:pPr>
              <w:spacing w:line="300" w:lineRule="exact"/>
              <w:ind w:firstLine="0" w:firstLineChars="0"/>
              <w:jc w:val="center"/>
              <w:rPr>
                <w:color w:val="auto"/>
                <w:sz w:val="21"/>
              </w:rPr>
            </w:pPr>
            <w:r>
              <w:rPr>
                <w:rFonts w:hint="eastAsia"/>
                <w:color w:val="auto"/>
                <w:sz w:val="21"/>
              </w:rPr>
              <w:t>咖啡</w:t>
            </w:r>
            <w:r>
              <w:rPr>
                <w:color w:val="auto"/>
                <w:sz w:val="21"/>
              </w:rPr>
              <w:t>饮料</w:t>
            </w:r>
          </w:p>
          <w:p>
            <w:pPr>
              <w:spacing w:line="300" w:lineRule="exact"/>
              <w:ind w:firstLine="0" w:firstLineChars="0"/>
              <w:jc w:val="center"/>
              <w:rPr>
                <w:color w:val="auto"/>
                <w:sz w:val="21"/>
              </w:rPr>
            </w:pPr>
            <w:r>
              <w:rPr>
                <w:rFonts w:hint="eastAsia"/>
                <w:color w:val="auto"/>
                <w:sz w:val="21"/>
              </w:rPr>
              <w:t>谷物</w:t>
            </w:r>
            <w:r>
              <w:rPr>
                <w:color w:val="auto"/>
                <w:sz w:val="21"/>
              </w:rPr>
              <w:t>饮料</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color w:val="auto"/>
                <w:sz w:val="21"/>
              </w:rPr>
              <w:t>7</w:t>
            </w:r>
            <w:r>
              <w:rPr>
                <w:rFonts w:hint="eastAsia"/>
                <w:color w:val="auto"/>
                <w:sz w:val="21"/>
              </w:rPr>
              <w:t>0</w:t>
            </w:r>
          </w:p>
        </w:tc>
        <w:tc>
          <w:tcPr>
            <w:tcW w:w="3433" w:type="dxa"/>
            <w:vMerge w:val="restart"/>
            <w:vAlign w:val="center"/>
          </w:tcPr>
          <w:p>
            <w:pPr>
              <w:spacing w:line="300" w:lineRule="exact"/>
              <w:ind w:firstLine="0" w:firstLineChars="0"/>
              <w:jc w:val="left"/>
              <w:rPr>
                <w:color w:val="auto"/>
                <w:sz w:val="21"/>
              </w:rPr>
            </w:pPr>
            <w:r>
              <w:rPr>
                <w:rFonts w:hint="eastAsia"/>
                <w:color w:val="auto"/>
                <w:sz w:val="21"/>
              </w:rPr>
              <w:t>1、纸</w:t>
            </w:r>
            <w:r>
              <w:rPr>
                <w:color w:val="auto"/>
                <w:sz w:val="21"/>
              </w:rPr>
              <w:t>塑</w:t>
            </w:r>
            <w:r>
              <w:rPr>
                <w:rFonts w:hint="eastAsia"/>
                <w:color w:val="auto"/>
                <w:sz w:val="21"/>
              </w:rPr>
              <w:t>复合</w:t>
            </w:r>
            <w:r>
              <w:rPr>
                <w:color w:val="auto"/>
                <w:sz w:val="21"/>
              </w:rPr>
              <w:t>包装，无菌包装</w:t>
            </w:r>
            <w:r>
              <w:rPr>
                <w:rFonts w:hint="eastAsia"/>
                <w:color w:val="auto"/>
                <w:sz w:val="21"/>
              </w:rPr>
              <w:t>0.8</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PET瓶</w:t>
            </w:r>
            <w:r>
              <w:rPr>
                <w:rFonts w:hint="eastAsia"/>
                <w:color w:val="auto"/>
                <w:sz w:val="21"/>
              </w:rPr>
              <w:t>外购</w:t>
            </w:r>
            <w:r>
              <w:rPr>
                <w:color w:val="auto"/>
                <w:sz w:val="21"/>
              </w:rPr>
              <w:t>，无菌灌装</w:t>
            </w:r>
            <w:r>
              <w:rPr>
                <w:rFonts w:hint="eastAsia"/>
                <w:color w:val="auto"/>
                <w:sz w:val="21"/>
              </w:rPr>
              <w:t>0.</w:t>
            </w:r>
            <w:r>
              <w:rPr>
                <w:color w:val="auto"/>
                <w:sz w:val="21"/>
              </w:rPr>
              <w:t>8</w:t>
            </w:r>
          </w:p>
          <w:p>
            <w:pPr>
              <w:spacing w:line="300" w:lineRule="exact"/>
              <w:ind w:firstLine="0" w:firstLineChars="0"/>
              <w:jc w:val="left"/>
              <w:rPr>
                <w:color w:val="auto"/>
                <w:sz w:val="21"/>
              </w:rPr>
            </w:pPr>
            <w:r>
              <w:rPr>
                <w:color w:val="auto"/>
                <w:sz w:val="21"/>
              </w:rPr>
              <w:t>3</w:t>
            </w:r>
            <w:r>
              <w:rPr>
                <w:rFonts w:hint="eastAsia"/>
                <w:color w:val="auto"/>
                <w:sz w:val="21"/>
              </w:rPr>
              <w:t>、外购PET</w:t>
            </w:r>
            <w:r>
              <w:rPr>
                <w:color w:val="auto"/>
                <w:sz w:val="21"/>
              </w:rPr>
              <w:t>瓶坯自吹瓶、无菌灌装</w:t>
            </w:r>
            <w:r>
              <w:rPr>
                <w:rFonts w:hint="eastAsia"/>
                <w:color w:val="auto"/>
                <w:sz w:val="21"/>
              </w:rPr>
              <w:t>0.9</w:t>
            </w:r>
          </w:p>
          <w:p>
            <w:pPr>
              <w:spacing w:line="300" w:lineRule="exact"/>
              <w:ind w:firstLine="0" w:firstLineChars="0"/>
              <w:jc w:val="left"/>
              <w:rPr>
                <w:color w:val="auto"/>
                <w:sz w:val="21"/>
              </w:rPr>
            </w:pPr>
            <w:r>
              <w:rPr>
                <w:color w:val="auto"/>
                <w:sz w:val="21"/>
              </w:rPr>
              <w:t>4</w:t>
            </w:r>
            <w:r>
              <w:rPr>
                <w:rFonts w:hint="eastAsia"/>
                <w:color w:val="auto"/>
                <w:sz w:val="21"/>
              </w:rPr>
              <w:t>、自</w:t>
            </w:r>
            <w:r>
              <w:rPr>
                <w:color w:val="auto"/>
                <w:sz w:val="21"/>
              </w:rPr>
              <w:t>制PP瓶</w:t>
            </w:r>
            <w:r>
              <w:rPr>
                <w:rFonts w:hint="eastAsia"/>
                <w:color w:val="auto"/>
                <w:sz w:val="21"/>
              </w:rPr>
              <w:t>1.1</w:t>
            </w:r>
          </w:p>
        </w:tc>
        <w:tc>
          <w:tcPr>
            <w:tcW w:w="1811" w:type="dxa"/>
            <w:vMerge w:val="restart"/>
            <w:vAlign w:val="center"/>
          </w:tcPr>
          <w:p>
            <w:pPr>
              <w:spacing w:line="300" w:lineRule="exact"/>
              <w:ind w:firstLine="0" w:firstLineChars="0"/>
              <w:rPr>
                <w:color w:val="auto"/>
                <w:sz w:val="21"/>
              </w:rPr>
            </w:pPr>
            <w:r>
              <w:rPr>
                <w:rFonts w:hint="eastAsia"/>
                <w:color w:val="auto"/>
                <w:sz w:val="21"/>
              </w:rPr>
              <w:t>1、</w:t>
            </w:r>
            <w:r>
              <w:rPr>
                <w:color w:val="auto"/>
                <w:sz w:val="21"/>
              </w:rPr>
              <w:t>金属罐</w:t>
            </w:r>
            <w:r>
              <w:rPr>
                <w:rFonts w:hint="eastAsia"/>
                <w:color w:val="auto"/>
                <w:sz w:val="21"/>
              </w:rPr>
              <w:t>、</w:t>
            </w:r>
            <w:r>
              <w:rPr>
                <w:color w:val="auto"/>
                <w:sz w:val="21"/>
              </w:rPr>
              <w:t>玻璃瓶</w:t>
            </w:r>
            <w:r>
              <w:rPr>
                <w:rFonts w:hint="eastAsia"/>
                <w:color w:val="auto"/>
                <w:sz w:val="21"/>
              </w:rPr>
              <w:t>和PP</w:t>
            </w:r>
            <w:r>
              <w:rPr>
                <w:color w:val="auto"/>
                <w:sz w:val="21"/>
              </w:rPr>
              <w:t>瓶外购，加压杀菌</w:t>
            </w:r>
          </w:p>
          <w:p>
            <w:pPr>
              <w:spacing w:line="300" w:lineRule="exact"/>
              <w:ind w:firstLine="0" w:firstLineChars="0"/>
              <w:rPr>
                <w:color w:val="auto"/>
                <w:sz w:val="21"/>
              </w:rPr>
            </w:pPr>
            <w:r>
              <w:rPr>
                <w:color w:val="auto"/>
                <w:sz w:val="21"/>
              </w:rPr>
              <w:t>2</w:t>
            </w:r>
            <w:r>
              <w:rPr>
                <w:rFonts w:hint="eastAsia"/>
                <w:color w:val="auto"/>
                <w:sz w:val="21"/>
              </w:rPr>
              <w:t>、自制</w:t>
            </w:r>
            <w:r>
              <w:rPr>
                <w:color w:val="auto"/>
                <w:sz w:val="21"/>
              </w:rPr>
              <w:t>PET瓶</w:t>
            </w:r>
            <w:r>
              <w:rPr>
                <w:rFonts w:hint="eastAsia"/>
                <w:color w:val="auto"/>
                <w:sz w:val="21"/>
              </w:rPr>
              <w:t>，</w:t>
            </w:r>
            <w:r>
              <w:rPr>
                <w:color w:val="auto"/>
                <w:sz w:val="21"/>
              </w:rPr>
              <w:t>无菌灌装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color w:val="auto"/>
                <w:sz w:val="21"/>
              </w:rPr>
              <w:t>6</w:t>
            </w:r>
            <w:r>
              <w:rPr>
                <w:rFonts w:hint="eastAsia"/>
                <w:color w:val="auto"/>
                <w:sz w:val="21"/>
              </w:rPr>
              <w:t>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color w:val="auto"/>
                <w:sz w:val="21"/>
              </w:rPr>
              <w:t>5</w:t>
            </w:r>
            <w:r>
              <w:rPr>
                <w:rFonts w:hint="eastAsia"/>
                <w:color w:val="auto"/>
                <w:sz w:val="21"/>
              </w:rPr>
              <w:t>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3"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含</w:t>
            </w:r>
            <w:r>
              <w:rPr>
                <w:color w:val="auto"/>
                <w:sz w:val="21"/>
              </w:rPr>
              <w:t>乳饮料</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color w:val="auto"/>
                <w:sz w:val="21"/>
              </w:rPr>
              <w:t>65</w:t>
            </w:r>
          </w:p>
        </w:tc>
        <w:tc>
          <w:tcPr>
            <w:tcW w:w="3433" w:type="dxa"/>
            <w:vMerge w:val="restart"/>
            <w:vAlign w:val="center"/>
          </w:tcPr>
          <w:p>
            <w:pPr>
              <w:spacing w:line="300" w:lineRule="exact"/>
              <w:ind w:firstLine="0" w:firstLineChars="0"/>
              <w:jc w:val="left"/>
              <w:rPr>
                <w:color w:val="auto"/>
                <w:sz w:val="21"/>
              </w:rPr>
            </w:pPr>
            <w:r>
              <w:rPr>
                <w:rFonts w:hint="eastAsia"/>
                <w:color w:val="auto"/>
                <w:sz w:val="21"/>
              </w:rPr>
              <w:t>1、纸</w:t>
            </w:r>
            <w:r>
              <w:rPr>
                <w:color w:val="auto"/>
                <w:sz w:val="21"/>
              </w:rPr>
              <w:t>塑</w:t>
            </w:r>
            <w:r>
              <w:rPr>
                <w:rFonts w:hint="eastAsia"/>
                <w:color w:val="auto"/>
                <w:sz w:val="21"/>
              </w:rPr>
              <w:t>复合</w:t>
            </w:r>
            <w:r>
              <w:rPr>
                <w:color w:val="auto"/>
                <w:sz w:val="21"/>
              </w:rPr>
              <w:t>包装</w:t>
            </w:r>
            <w:r>
              <w:rPr>
                <w:rFonts w:hint="eastAsia"/>
                <w:color w:val="auto"/>
                <w:sz w:val="21"/>
              </w:rPr>
              <w:t>或</w:t>
            </w:r>
            <w:r>
              <w:rPr>
                <w:color w:val="auto"/>
                <w:sz w:val="21"/>
              </w:rPr>
              <w:t>塑料袋，无菌包装</w:t>
            </w:r>
            <w:r>
              <w:rPr>
                <w:rFonts w:hint="eastAsia"/>
                <w:color w:val="auto"/>
                <w:sz w:val="21"/>
              </w:rPr>
              <w:t>0.8</w:t>
            </w:r>
          </w:p>
          <w:p>
            <w:pPr>
              <w:spacing w:line="300" w:lineRule="exact"/>
              <w:ind w:firstLine="0" w:firstLineChars="0"/>
              <w:jc w:val="left"/>
              <w:rPr>
                <w:color w:val="auto"/>
                <w:sz w:val="21"/>
              </w:rPr>
            </w:pPr>
            <w:r>
              <w:rPr>
                <w:color w:val="auto"/>
                <w:sz w:val="21"/>
              </w:rPr>
              <w:t>2</w:t>
            </w:r>
            <w:r>
              <w:rPr>
                <w:rFonts w:hint="eastAsia"/>
                <w:color w:val="auto"/>
                <w:sz w:val="21"/>
              </w:rPr>
              <w:t>、</w:t>
            </w:r>
            <w:r>
              <w:rPr>
                <w:color w:val="auto"/>
                <w:sz w:val="21"/>
              </w:rPr>
              <w:t>PET瓶</w:t>
            </w:r>
            <w:r>
              <w:rPr>
                <w:rFonts w:hint="eastAsia"/>
                <w:color w:val="auto"/>
                <w:sz w:val="21"/>
              </w:rPr>
              <w:t>外购</w:t>
            </w:r>
            <w:r>
              <w:rPr>
                <w:color w:val="auto"/>
                <w:sz w:val="21"/>
              </w:rPr>
              <w:t>，无菌灌装</w:t>
            </w:r>
            <w:r>
              <w:rPr>
                <w:rFonts w:hint="eastAsia"/>
                <w:color w:val="auto"/>
                <w:sz w:val="21"/>
              </w:rPr>
              <w:t>0.</w:t>
            </w:r>
            <w:r>
              <w:rPr>
                <w:color w:val="auto"/>
                <w:sz w:val="21"/>
              </w:rPr>
              <w:t>8</w:t>
            </w:r>
          </w:p>
          <w:p>
            <w:pPr>
              <w:spacing w:line="300" w:lineRule="exact"/>
              <w:ind w:firstLine="0" w:firstLineChars="0"/>
              <w:jc w:val="left"/>
              <w:rPr>
                <w:color w:val="auto"/>
                <w:sz w:val="21"/>
              </w:rPr>
            </w:pPr>
            <w:r>
              <w:rPr>
                <w:color w:val="auto"/>
                <w:sz w:val="21"/>
              </w:rPr>
              <w:t>3</w:t>
            </w:r>
            <w:r>
              <w:rPr>
                <w:rFonts w:hint="eastAsia"/>
                <w:color w:val="auto"/>
                <w:sz w:val="21"/>
              </w:rPr>
              <w:t>、外购PET</w:t>
            </w:r>
            <w:r>
              <w:rPr>
                <w:color w:val="auto"/>
                <w:sz w:val="21"/>
              </w:rPr>
              <w:t>瓶坯自吹瓶、无菌灌装</w:t>
            </w:r>
            <w:r>
              <w:rPr>
                <w:rFonts w:hint="eastAsia"/>
                <w:color w:val="auto"/>
                <w:sz w:val="21"/>
              </w:rPr>
              <w:t>0.9</w:t>
            </w:r>
          </w:p>
          <w:p>
            <w:pPr>
              <w:spacing w:line="300" w:lineRule="exact"/>
              <w:ind w:firstLine="0" w:firstLineChars="0"/>
              <w:jc w:val="left"/>
              <w:rPr>
                <w:color w:val="auto"/>
                <w:sz w:val="21"/>
              </w:rPr>
            </w:pPr>
            <w:r>
              <w:rPr>
                <w:color w:val="auto"/>
                <w:sz w:val="21"/>
              </w:rPr>
              <w:t>4</w:t>
            </w:r>
            <w:r>
              <w:rPr>
                <w:rFonts w:hint="eastAsia"/>
                <w:color w:val="auto"/>
                <w:sz w:val="21"/>
              </w:rPr>
              <w:t>、自</w:t>
            </w:r>
            <w:r>
              <w:rPr>
                <w:color w:val="auto"/>
                <w:sz w:val="21"/>
              </w:rPr>
              <w:t>制HDPE瓶</w:t>
            </w:r>
            <w:r>
              <w:rPr>
                <w:rFonts w:hint="eastAsia"/>
                <w:color w:val="auto"/>
                <w:sz w:val="21"/>
              </w:rPr>
              <w:t>1.1</w:t>
            </w:r>
          </w:p>
          <w:p>
            <w:pPr>
              <w:spacing w:line="300" w:lineRule="exact"/>
              <w:ind w:firstLine="0" w:firstLineChars="0"/>
              <w:jc w:val="left"/>
              <w:rPr>
                <w:color w:val="auto"/>
                <w:sz w:val="21"/>
              </w:rPr>
            </w:pPr>
            <w:r>
              <w:rPr>
                <w:color w:val="auto"/>
                <w:sz w:val="21"/>
              </w:rPr>
              <w:t>5</w:t>
            </w:r>
            <w:r>
              <w:rPr>
                <w:rFonts w:hint="eastAsia"/>
                <w:color w:val="auto"/>
                <w:sz w:val="21"/>
              </w:rPr>
              <w:t>、超洁净</w:t>
            </w:r>
            <w:r>
              <w:rPr>
                <w:color w:val="auto"/>
                <w:sz w:val="21"/>
              </w:rPr>
              <w:t>热灌装</w:t>
            </w:r>
            <w:r>
              <w:rPr>
                <w:rFonts w:hint="eastAsia"/>
                <w:color w:val="auto"/>
                <w:sz w:val="21"/>
              </w:rPr>
              <w:t>1.1</w:t>
            </w:r>
          </w:p>
          <w:p>
            <w:pPr>
              <w:spacing w:line="300" w:lineRule="exact"/>
              <w:ind w:firstLine="0" w:firstLineChars="0"/>
              <w:jc w:val="left"/>
              <w:rPr>
                <w:color w:val="auto"/>
                <w:sz w:val="21"/>
              </w:rPr>
            </w:pPr>
            <w:r>
              <w:rPr>
                <w:color w:val="auto"/>
                <w:sz w:val="21"/>
              </w:rPr>
              <w:t>6</w:t>
            </w:r>
            <w:r>
              <w:rPr>
                <w:rFonts w:hint="eastAsia"/>
                <w:color w:val="auto"/>
                <w:sz w:val="21"/>
              </w:rPr>
              <w:t>、</w:t>
            </w:r>
            <w:r>
              <w:rPr>
                <w:color w:val="auto"/>
                <w:sz w:val="21"/>
              </w:rPr>
              <w:t>添加</w:t>
            </w:r>
            <w:r>
              <w:rPr>
                <w:rFonts w:hint="eastAsia"/>
                <w:color w:val="auto"/>
                <w:sz w:val="21"/>
              </w:rPr>
              <w:t>直接</w:t>
            </w:r>
            <w:r>
              <w:rPr>
                <w:color w:val="auto"/>
                <w:sz w:val="21"/>
              </w:rPr>
              <w:t>萃取植物成分</w:t>
            </w:r>
            <w:r>
              <w:rPr>
                <w:rFonts w:hint="eastAsia"/>
                <w:color w:val="auto"/>
                <w:sz w:val="21"/>
              </w:rPr>
              <w:t>1.1</w:t>
            </w:r>
          </w:p>
          <w:p>
            <w:pPr>
              <w:spacing w:line="300" w:lineRule="exact"/>
              <w:ind w:firstLine="0" w:firstLineChars="0"/>
              <w:jc w:val="left"/>
              <w:rPr>
                <w:color w:val="auto"/>
                <w:sz w:val="21"/>
              </w:rPr>
            </w:pPr>
            <w:r>
              <w:rPr>
                <w:color w:val="auto"/>
                <w:sz w:val="21"/>
              </w:rPr>
              <w:t>7</w:t>
            </w:r>
            <w:r>
              <w:rPr>
                <w:rFonts w:hint="eastAsia"/>
                <w:color w:val="auto"/>
                <w:sz w:val="21"/>
              </w:rPr>
              <w:t>、</w:t>
            </w:r>
            <w:r>
              <w:rPr>
                <w:color w:val="auto"/>
                <w:sz w:val="21"/>
              </w:rPr>
              <w:t>原料为奶粉</w:t>
            </w:r>
            <w:r>
              <w:rPr>
                <w:rFonts w:hint="eastAsia"/>
                <w:color w:val="auto"/>
                <w:sz w:val="21"/>
              </w:rPr>
              <w:t>0.85</w:t>
            </w:r>
          </w:p>
        </w:tc>
        <w:tc>
          <w:tcPr>
            <w:tcW w:w="1811" w:type="dxa"/>
            <w:vMerge w:val="restart"/>
            <w:vAlign w:val="center"/>
          </w:tcPr>
          <w:p>
            <w:pPr>
              <w:spacing w:line="300" w:lineRule="exact"/>
              <w:ind w:firstLine="0" w:firstLineChars="0"/>
              <w:rPr>
                <w:color w:val="auto"/>
                <w:sz w:val="21"/>
              </w:rPr>
            </w:pPr>
            <w:r>
              <w:rPr>
                <w:rFonts w:hint="eastAsia"/>
                <w:color w:val="auto"/>
                <w:sz w:val="21"/>
              </w:rPr>
              <w:t>1、玻璃瓶</w:t>
            </w:r>
            <w:r>
              <w:rPr>
                <w:color w:val="auto"/>
                <w:sz w:val="21"/>
              </w:rPr>
              <w:t>和</w:t>
            </w:r>
            <w:r>
              <w:rPr>
                <w:rFonts w:hint="eastAsia"/>
                <w:color w:val="auto"/>
                <w:sz w:val="21"/>
              </w:rPr>
              <w:t>HDPE（高</w:t>
            </w:r>
            <w:r>
              <w:rPr>
                <w:color w:val="auto"/>
                <w:sz w:val="21"/>
              </w:rPr>
              <w:t>密度聚乙烯</w:t>
            </w:r>
            <w:r>
              <w:rPr>
                <w:rFonts w:hint="eastAsia"/>
                <w:color w:val="auto"/>
                <w:sz w:val="21"/>
              </w:rPr>
              <w:t>）瓶</w:t>
            </w:r>
            <w:r>
              <w:rPr>
                <w:color w:val="auto"/>
                <w:sz w:val="21"/>
              </w:rPr>
              <w:t>外购，热灌装或</w:t>
            </w:r>
            <w:r>
              <w:rPr>
                <w:rFonts w:hint="eastAsia"/>
                <w:color w:val="auto"/>
                <w:sz w:val="21"/>
              </w:rPr>
              <w:t>常压</w:t>
            </w:r>
            <w:r>
              <w:rPr>
                <w:color w:val="auto"/>
                <w:sz w:val="21"/>
              </w:rPr>
              <w:t>杀菌</w:t>
            </w:r>
          </w:p>
          <w:p>
            <w:pPr>
              <w:spacing w:line="300" w:lineRule="exact"/>
              <w:ind w:firstLine="0" w:firstLineChars="0"/>
              <w:rPr>
                <w:color w:val="auto"/>
                <w:sz w:val="21"/>
              </w:rPr>
            </w:pPr>
            <w:r>
              <w:rPr>
                <w:color w:val="auto"/>
                <w:sz w:val="21"/>
              </w:rPr>
              <w:t>2</w:t>
            </w:r>
            <w:r>
              <w:rPr>
                <w:rFonts w:hint="eastAsia"/>
                <w:color w:val="auto"/>
                <w:sz w:val="21"/>
              </w:rPr>
              <w:t>、自制</w:t>
            </w:r>
            <w:r>
              <w:rPr>
                <w:color w:val="auto"/>
                <w:sz w:val="21"/>
              </w:rPr>
              <w:t>PET瓶</w:t>
            </w:r>
            <w:r>
              <w:rPr>
                <w:rFonts w:hint="eastAsia"/>
                <w:color w:val="auto"/>
                <w:sz w:val="21"/>
              </w:rPr>
              <w:t>，</w:t>
            </w:r>
            <w:r>
              <w:rPr>
                <w:color w:val="auto"/>
                <w:sz w:val="21"/>
              </w:rPr>
              <w:t>无菌灌装</w:t>
            </w:r>
          </w:p>
          <w:p>
            <w:pPr>
              <w:spacing w:line="300" w:lineRule="exact"/>
              <w:ind w:firstLine="0" w:firstLineChars="0"/>
              <w:rPr>
                <w:color w:val="auto"/>
                <w:sz w:val="21"/>
              </w:rPr>
            </w:pPr>
            <w:r>
              <w:rPr>
                <w:rFonts w:hint="eastAsia"/>
                <w:color w:val="auto"/>
                <w:sz w:val="21"/>
              </w:rPr>
              <w:t>3、</w:t>
            </w:r>
            <w:r>
              <w:rPr>
                <w:color w:val="auto"/>
                <w:sz w:val="21"/>
              </w:rPr>
              <w:t>原料为鲜奶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3"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color w:val="auto"/>
                <w:sz w:val="21"/>
              </w:rPr>
              <w:t>55</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color w:val="auto"/>
                <w:sz w:val="21"/>
              </w:rPr>
              <w:t>45</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固体</w:t>
            </w:r>
            <w:r>
              <w:rPr>
                <w:color w:val="auto"/>
                <w:sz w:val="21"/>
              </w:rPr>
              <w:t>饮料</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color w:val="auto"/>
                <w:sz w:val="21"/>
              </w:rPr>
              <w:t>45</w:t>
            </w:r>
          </w:p>
        </w:tc>
        <w:tc>
          <w:tcPr>
            <w:tcW w:w="3433" w:type="dxa"/>
            <w:vAlign w:val="center"/>
          </w:tcPr>
          <w:p>
            <w:pPr>
              <w:spacing w:line="300" w:lineRule="exact"/>
              <w:ind w:firstLine="0" w:firstLineChars="0"/>
              <w:jc w:val="left"/>
              <w:rPr>
                <w:color w:val="auto"/>
                <w:sz w:val="21"/>
              </w:rPr>
            </w:pPr>
            <w:r>
              <w:rPr>
                <w:rFonts w:hint="eastAsia"/>
                <w:color w:val="auto"/>
                <w:sz w:val="21"/>
              </w:rPr>
              <w:t>1、湿混</w:t>
            </w:r>
            <w:r>
              <w:rPr>
                <w:color w:val="auto"/>
                <w:sz w:val="21"/>
              </w:rPr>
              <w:t>加工</w:t>
            </w:r>
            <w:r>
              <w:rPr>
                <w:rFonts w:hint="eastAsia"/>
                <w:color w:val="auto"/>
                <w:sz w:val="21"/>
              </w:rPr>
              <w:t>7</w:t>
            </w:r>
          </w:p>
          <w:p>
            <w:pPr>
              <w:spacing w:line="300" w:lineRule="exact"/>
              <w:ind w:firstLine="0" w:firstLineChars="0"/>
              <w:jc w:val="left"/>
              <w:rPr>
                <w:color w:val="auto"/>
                <w:sz w:val="21"/>
              </w:rPr>
            </w:pPr>
            <w:r>
              <w:rPr>
                <w:color w:val="auto"/>
                <w:sz w:val="21"/>
              </w:rPr>
              <w:t>2</w:t>
            </w:r>
            <w:r>
              <w:rPr>
                <w:rFonts w:hint="eastAsia"/>
                <w:color w:val="auto"/>
                <w:sz w:val="21"/>
              </w:rPr>
              <w:t>、喷雾干燥</w:t>
            </w:r>
            <w:r>
              <w:rPr>
                <w:color w:val="auto"/>
                <w:sz w:val="21"/>
              </w:rPr>
              <w:t>工艺</w:t>
            </w:r>
            <w:r>
              <w:rPr>
                <w:rFonts w:hint="eastAsia"/>
                <w:color w:val="auto"/>
                <w:sz w:val="21"/>
              </w:rPr>
              <w:t>50</w:t>
            </w:r>
          </w:p>
        </w:tc>
        <w:tc>
          <w:tcPr>
            <w:tcW w:w="1811" w:type="dxa"/>
            <w:vMerge w:val="restart"/>
            <w:vAlign w:val="center"/>
          </w:tcPr>
          <w:p>
            <w:pPr>
              <w:spacing w:line="300" w:lineRule="exact"/>
              <w:ind w:firstLine="0" w:firstLineChars="0"/>
              <w:jc w:val="left"/>
              <w:rPr>
                <w:color w:val="auto"/>
                <w:sz w:val="21"/>
              </w:rPr>
            </w:pPr>
            <w:r>
              <w:rPr>
                <w:rFonts w:hint="eastAsia"/>
                <w:color w:val="auto"/>
                <w:sz w:val="21"/>
              </w:rPr>
              <w:t>干混</w:t>
            </w:r>
            <w:r>
              <w:rPr>
                <w:color w:val="auto"/>
                <w:sz w:val="21"/>
              </w:rPr>
              <w:t>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color w:val="auto"/>
                <w:sz w:val="21"/>
              </w:rPr>
              <w:t>35</w:t>
            </w:r>
          </w:p>
        </w:tc>
        <w:tc>
          <w:tcPr>
            <w:tcW w:w="3433" w:type="dxa"/>
            <w:vAlign w:val="center"/>
          </w:tcPr>
          <w:p>
            <w:pPr>
              <w:spacing w:line="300" w:lineRule="exact"/>
              <w:ind w:firstLine="0" w:firstLineChars="0"/>
              <w:jc w:val="left"/>
              <w:rPr>
                <w:color w:val="auto"/>
                <w:sz w:val="21"/>
              </w:rPr>
            </w:pPr>
            <w:r>
              <w:rPr>
                <w:rFonts w:hint="eastAsia"/>
                <w:color w:val="auto"/>
                <w:sz w:val="21"/>
              </w:rPr>
              <w:t>1、湿混</w:t>
            </w:r>
            <w:r>
              <w:rPr>
                <w:color w:val="auto"/>
                <w:sz w:val="21"/>
              </w:rPr>
              <w:t>加工8</w:t>
            </w:r>
          </w:p>
          <w:p>
            <w:pPr>
              <w:spacing w:line="300" w:lineRule="exact"/>
              <w:ind w:firstLine="0" w:firstLineChars="0"/>
              <w:jc w:val="left"/>
              <w:rPr>
                <w:color w:val="auto"/>
                <w:sz w:val="21"/>
              </w:rPr>
            </w:pPr>
            <w:r>
              <w:rPr>
                <w:color w:val="auto"/>
                <w:sz w:val="21"/>
              </w:rPr>
              <w:t>2</w:t>
            </w:r>
            <w:r>
              <w:rPr>
                <w:rFonts w:hint="eastAsia"/>
                <w:color w:val="auto"/>
                <w:sz w:val="21"/>
              </w:rPr>
              <w:t>、喷雾干燥</w:t>
            </w:r>
            <w:r>
              <w:rPr>
                <w:color w:val="auto"/>
                <w:sz w:val="21"/>
              </w:rPr>
              <w:t>工艺55</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color w:val="auto"/>
                <w:sz w:val="21"/>
              </w:rPr>
              <w:t>25</w:t>
            </w:r>
          </w:p>
        </w:tc>
        <w:tc>
          <w:tcPr>
            <w:tcW w:w="3433" w:type="dxa"/>
            <w:vAlign w:val="center"/>
          </w:tcPr>
          <w:p>
            <w:pPr>
              <w:spacing w:line="300" w:lineRule="exact"/>
              <w:ind w:firstLine="0" w:firstLineChars="0"/>
              <w:jc w:val="left"/>
              <w:rPr>
                <w:color w:val="auto"/>
                <w:sz w:val="21"/>
              </w:rPr>
            </w:pPr>
            <w:r>
              <w:rPr>
                <w:rFonts w:hint="eastAsia"/>
                <w:color w:val="auto"/>
                <w:sz w:val="21"/>
              </w:rPr>
              <w:t>1、湿混</w:t>
            </w:r>
            <w:r>
              <w:rPr>
                <w:color w:val="auto"/>
                <w:sz w:val="21"/>
              </w:rPr>
              <w:t>加工10</w:t>
            </w:r>
          </w:p>
          <w:p>
            <w:pPr>
              <w:spacing w:line="300" w:lineRule="exact"/>
              <w:ind w:firstLine="0" w:firstLineChars="0"/>
              <w:jc w:val="left"/>
              <w:rPr>
                <w:color w:val="auto"/>
                <w:sz w:val="21"/>
              </w:rPr>
            </w:pPr>
            <w:r>
              <w:rPr>
                <w:color w:val="auto"/>
                <w:sz w:val="21"/>
              </w:rPr>
              <w:t>2</w:t>
            </w:r>
            <w:r>
              <w:rPr>
                <w:rFonts w:hint="eastAsia"/>
                <w:color w:val="auto"/>
                <w:sz w:val="21"/>
              </w:rPr>
              <w:t>、喷雾干燥</w:t>
            </w:r>
            <w:r>
              <w:rPr>
                <w:color w:val="auto"/>
                <w:sz w:val="21"/>
              </w:rPr>
              <w:t>工艺70</w:t>
            </w: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restart"/>
            <w:vAlign w:val="center"/>
          </w:tcPr>
          <w:p>
            <w:pPr>
              <w:spacing w:line="300" w:lineRule="exact"/>
              <w:ind w:firstLine="0" w:firstLineChars="0"/>
              <w:jc w:val="center"/>
              <w:rPr>
                <w:color w:val="auto"/>
                <w:sz w:val="21"/>
              </w:rPr>
            </w:pPr>
            <w:r>
              <w:rPr>
                <w:rFonts w:hint="eastAsia"/>
                <w:color w:val="auto"/>
                <w:sz w:val="21"/>
              </w:rPr>
              <w:t>浓缩</w:t>
            </w:r>
            <w:r>
              <w:rPr>
                <w:color w:val="auto"/>
                <w:sz w:val="21"/>
              </w:rPr>
              <w:t>果蔬汁</w:t>
            </w:r>
          </w:p>
          <w:p>
            <w:pPr>
              <w:spacing w:line="300" w:lineRule="exact"/>
              <w:ind w:firstLine="0" w:firstLineChars="0"/>
              <w:jc w:val="center"/>
              <w:rPr>
                <w:color w:val="auto"/>
                <w:sz w:val="21"/>
              </w:rPr>
            </w:pPr>
            <w:r>
              <w:rPr>
                <w:rFonts w:hint="eastAsia"/>
                <w:color w:val="auto"/>
                <w:sz w:val="21"/>
              </w:rPr>
              <w:t>果蔬</w:t>
            </w:r>
            <w:r>
              <w:rPr>
                <w:color w:val="auto"/>
                <w:sz w:val="21"/>
              </w:rPr>
              <w:t>原浆</w:t>
            </w:r>
          </w:p>
        </w:tc>
        <w:tc>
          <w:tcPr>
            <w:tcW w:w="879" w:type="dxa"/>
            <w:vAlign w:val="center"/>
          </w:tcPr>
          <w:p>
            <w:pPr>
              <w:spacing w:line="300" w:lineRule="exact"/>
              <w:ind w:firstLine="0" w:firstLineChars="0"/>
              <w:jc w:val="center"/>
              <w:rPr>
                <w:color w:val="auto"/>
                <w:sz w:val="21"/>
              </w:rPr>
            </w:pPr>
            <w:r>
              <w:rPr>
                <w:rFonts w:hint="eastAsia"/>
                <w:color w:val="auto"/>
                <w:sz w:val="21"/>
              </w:rPr>
              <w:t>限定值</w:t>
            </w:r>
          </w:p>
        </w:tc>
        <w:tc>
          <w:tcPr>
            <w:tcW w:w="851" w:type="dxa"/>
            <w:vAlign w:val="center"/>
          </w:tcPr>
          <w:p>
            <w:pPr>
              <w:spacing w:line="300" w:lineRule="exact"/>
              <w:ind w:firstLine="0" w:firstLineChars="0"/>
              <w:jc w:val="center"/>
              <w:rPr>
                <w:color w:val="auto"/>
                <w:sz w:val="21"/>
              </w:rPr>
            </w:pPr>
            <w:r>
              <w:rPr>
                <w:color w:val="auto"/>
                <w:sz w:val="21"/>
              </w:rPr>
              <w:t>600</w:t>
            </w:r>
          </w:p>
        </w:tc>
        <w:tc>
          <w:tcPr>
            <w:tcW w:w="3433" w:type="dxa"/>
            <w:vMerge w:val="restart"/>
            <w:vAlign w:val="center"/>
          </w:tcPr>
          <w:p>
            <w:pPr>
              <w:spacing w:line="300" w:lineRule="exact"/>
              <w:ind w:firstLine="0" w:firstLineChars="0"/>
              <w:jc w:val="left"/>
              <w:rPr>
                <w:color w:val="auto"/>
                <w:sz w:val="21"/>
              </w:rPr>
            </w:pPr>
            <w:r>
              <w:rPr>
                <w:rFonts w:hint="eastAsia"/>
                <w:color w:val="auto"/>
                <w:sz w:val="21"/>
              </w:rPr>
              <w:t>果蔬原浆0.15</w:t>
            </w:r>
          </w:p>
        </w:tc>
        <w:tc>
          <w:tcPr>
            <w:tcW w:w="1811" w:type="dxa"/>
            <w:vMerge w:val="restart"/>
            <w:vAlign w:val="center"/>
          </w:tcPr>
          <w:p>
            <w:pPr>
              <w:spacing w:line="300" w:lineRule="exact"/>
              <w:ind w:firstLine="0" w:firstLineChars="0"/>
              <w:rPr>
                <w:color w:val="auto"/>
                <w:sz w:val="21"/>
              </w:rPr>
            </w:pPr>
            <w:r>
              <w:rPr>
                <w:rFonts w:hint="eastAsia"/>
                <w:color w:val="auto"/>
                <w:sz w:val="21"/>
              </w:rPr>
              <w:t>1、2</w:t>
            </w:r>
            <w:r>
              <w:rPr>
                <w:color w:val="auto"/>
                <w:sz w:val="21"/>
              </w:rPr>
              <w:t>00L以上大袋无菌包装</w:t>
            </w:r>
          </w:p>
          <w:p>
            <w:pPr>
              <w:spacing w:line="300" w:lineRule="exact"/>
              <w:ind w:firstLine="0" w:firstLineChars="0"/>
              <w:rPr>
                <w:color w:val="auto"/>
                <w:sz w:val="21"/>
              </w:rPr>
            </w:pPr>
            <w:r>
              <w:rPr>
                <w:color w:val="auto"/>
                <w:sz w:val="21"/>
              </w:rPr>
              <w:t>2</w:t>
            </w:r>
            <w:r>
              <w:rPr>
                <w:rFonts w:hint="eastAsia"/>
                <w:color w:val="auto"/>
                <w:sz w:val="21"/>
              </w:rPr>
              <w:t>、浓缩果蔬汁</w:t>
            </w:r>
            <w:r>
              <w:rPr>
                <w:color w:val="auto"/>
                <w:sz w:val="21"/>
              </w:rPr>
              <w:t>浓度不小于</w:t>
            </w:r>
            <w:r>
              <w:rPr>
                <w:rFonts w:hint="eastAsia"/>
                <w:color w:val="auto"/>
                <w:sz w:val="21"/>
              </w:rPr>
              <w:t>60</w:t>
            </w:r>
            <w:r>
              <w:rPr>
                <w:color w:val="auto"/>
                <w:sz w:val="21"/>
              </w:rPr>
              <w:t>%，热浓缩工艺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3"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准入值</w:t>
            </w:r>
          </w:p>
        </w:tc>
        <w:tc>
          <w:tcPr>
            <w:tcW w:w="851" w:type="dxa"/>
            <w:vAlign w:val="center"/>
          </w:tcPr>
          <w:p>
            <w:pPr>
              <w:spacing w:line="300" w:lineRule="exact"/>
              <w:ind w:firstLine="0" w:firstLineChars="0"/>
              <w:jc w:val="center"/>
              <w:rPr>
                <w:color w:val="auto"/>
                <w:sz w:val="21"/>
              </w:rPr>
            </w:pPr>
            <w:r>
              <w:rPr>
                <w:color w:val="auto"/>
                <w:sz w:val="21"/>
              </w:rPr>
              <w:t>500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446" w:type="dxa"/>
            <w:vMerge w:val="continue"/>
            <w:vAlign w:val="center"/>
          </w:tcPr>
          <w:p>
            <w:pPr>
              <w:spacing w:line="300" w:lineRule="exact"/>
              <w:ind w:firstLine="0" w:firstLineChars="0"/>
              <w:jc w:val="center"/>
              <w:rPr>
                <w:color w:val="auto"/>
                <w:sz w:val="21"/>
              </w:rPr>
            </w:pPr>
          </w:p>
        </w:tc>
        <w:tc>
          <w:tcPr>
            <w:tcW w:w="879" w:type="dxa"/>
            <w:vAlign w:val="center"/>
          </w:tcPr>
          <w:p>
            <w:pPr>
              <w:spacing w:line="300" w:lineRule="exact"/>
              <w:ind w:firstLine="0" w:firstLineChars="0"/>
              <w:jc w:val="center"/>
              <w:rPr>
                <w:color w:val="auto"/>
                <w:sz w:val="21"/>
              </w:rPr>
            </w:pPr>
            <w:r>
              <w:rPr>
                <w:rFonts w:hint="eastAsia"/>
                <w:color w:val="auto"/>
                <w:sz w:val="21"/>
              </w:rPr>
              <w:t>先进</w:t>
            </w:r>
            <w:r>
              <w:rPr>
                <w:color w:val="auto"/>
                <w:sz w:val="21"/>
              </w:rPr>
              <w:t>值</w:t>
            </w:r>
          </w:p>
        </w:tc>
        <w:tc>
          <w:tcPr>
            <w:tcW w:w="851" w:type="dxa"/>
            <w:vAlign w:val="center"/>
          </w:tcPr>
          <w:p>
            <w:pPr>
              <w:spacing w:line="300" w:lineRule="exact"/>
              <w:ind w:firstLine="0" w:firstLineChars="0"/>
              <w:jc w:val="center"/>
              <w:rPr>
                <w:color w:val="auto"/>
                <w:sz w:val="21"/>
              </w:rPr>
            </w:pPr>
            <w:r>
              <w:rPr>
                <w:color w:val="auto"/>
                <w:sz w:val="21"/>
              </w:rPr>
              <w:t>400</w:t>
            </w:r>
          </w:p>
        </w:tc>
        <w:tc>
          <w:tcPr>
            <w:tcW w:w="3433" w:type="dxa"/>
            <w:vMerge w:val="continue"/>
            <w:vAlign w:val="center"/>
          </w:tcPr>
          <w:p>
            <w:pPr>
              <w:spacing w:line="300" w:lineRule="exact"/>
              <w:ind w:firstLine="0" w:firstLineChars="0"/>
              <w:jc w:val="center"/>
              <w:rPr>
                <w:color w:val="auto"/>
                <w:sz w:val="21"/>
              </w:rPr>
            </w:pPr>
          </w:p>
        </w:tc>
        <w:tc>
          <w:tcPr>
            <w:tcW w:w="1811" w:type="dxa"/>
            <w:vMerge w:val="continue"/>
            <w:vAlign w:val="center"/>
          </w:tcPr>
          <w:p>
            <w:pPr>
              <w:spacing w:line="30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420" w:type="dxa"/>
            <w:gridSpan w:val="5"/>
            <w:vAlign w:val="center"/>
          </w:tcPr>
          <w:p>
            <w:pPr>
              <w:spacing w:line="300" w:lineRule="exact"/>
              <w:ind w:firstLine="0" w:firstLineChars="0"/>
              <w:jc w:val="left"/>
              <w:rPr>
                <w:color w:val="auto"/>
                <w:sz w:val="21"/>
              </w:rPr>
            </w:pPr>
            <w:r>
              <w:rPr>
                <w:rFonts w:hint="eastAsia"/>
                <w:color w:val="auto"/>
                <w:sz w:val="21"/>
              </w:rPr>
              <w:t>注：当</w:t>
            </w:r>
            <w:r>
              <w:rPr>
                <w:color w:val="auto"/>
                <w:sz w:val="21"/>
              </w:rPr>
              <w:t>某个</w:t>
            </w:r>
            <w:r>
              <w:rPr>
                <w:rFonts w:hint="eastAsia"/>
                <w:color w:val="auto"/>
                <w:sz w:val="21"/>
              </w:rPr>
              <w:t>饮料</w:t>
            </w:r>
            <w:r>
              <w:rPr>
                <w:color w:val="auto"/>
                <w:sz w:val="21"/>
              </w:rPr>
              <w:t>品种具有两个以上调节系数时</w:t>
            </w:r>
            <w:r>
              <w:rPr>
                <w:rFonts w:hint="eastAsia"/>
                <w:color w:val="auto"/>
                <w:sz w:val="21"/>
              </w:rPr>
              <w:t>，</w:t>
            </w:r>
            <w:r>
              <w:rPr>
                <w:color w:val="auto"/>
                <w:sz w:val="21"/>
              </w:rPr>
              <w:t>其总调节系数</w:t>
            </w:r>
            <w:r>
              <w:rPr>
                <w:rFonts w:hint="eastAsia"/>
                <w:color w:val="auto"/>
                <w:sz w:val="21"/>
              </w:rPr>
              <w:t>是</w:t>
            </w:r>
            <w:r>
              <w:rPr>
                <w:color w:val="auto"/>
                <w:sz w:val="21"/>
              </w:rPr>
              <w:t>多个调节系数的乘积</w:t>
            </w:r>
            <w:r>
              <w:rPr>
                <w:rFonts w:hint="eastAsia"/>
                <w:color w:val="auto"/>
                <w:sz w:val="21"/>
              </w:rPr>
              <w:t>；</w:t>
            </w:r>
            <w:r>
              <w:rPr>
                <w:color w:val="auto"/>
                <w:sz w:val="21"/>
              </w:rPr>
              <w:t>各饮料的</w:t>
            </w:r>
            <w:r>
              <w:rPr>
                <w:rFonts w:hint="eastAsia"/>
                <w:color w:val="auto"/>
                <w:sz w:val="21"/>
              </w:rPr>
              <w:t>综合</w:t>
            </w:r>
            <w:r>
              <w:rPr>
                <w:color w:val="auto"/>
                <w:sz w:val="21"/>
              </w:rPr>
              <w:t>能耗限额均不包括冷冻干燥和非热加工技术生产的产品。</w:t>
            </w:r>
          </w:p>
        </w:tc>
      </w:tr>
    </w:tbl>
    <w:p>
      <w:pPr>
        <w:spacing w:line="240" w:lineRule="auto"/>
        <w:ind w:firstLine="0" w:firstLineChars="0"/>
        <w:rPr>
          <w:color w:val="auto"/>
          <w:sz w:val="22"/>
        </w:rPr>
      </w:pPr>
    </w:p>
    <w:p>
      <w:pPr>
        <w:ind w:firstLine="560"/>
        <w:rPr>
          <w:color w:val="auto"/>
        </w:rPr>
      </w:pPr>
      <w:r>
        <w:rPr>
          <w:rFonts w:hint="eastAsia"/>
          <w:color w:val="auto"/>
        </w:rPr>
        <w:t>红牛维他命饮料（湖北）有限公司单位产品综合能耗19.11kgce/t，达到《饮料制造综合能耗限额》（QBT 4069-2010）规定的先进值20.00kgce/t要求。湖北奥瑞金饮料工业有限公司、今麦郎饮品（咸宁）有限公司由于</w:t>
      </w:r>
      <w:r>
        <w:rPr>
          <w:color w:val="auto"/>
        </w:rPr>
        <w:t>产品种类</w:t>
      </w:r>
      <w:r>
        <w:rPr>
          <w:rFonts w:hint="eastAsia"/>
          <w:color w:val="auto"/>
        </w:rPr>
        <w:t>较多</w:t>
      </w:r>
      <w:r>
        <w:rPr>
          <w:color w:val="auto"/>
        </w:rPr>
        <w:t>，</w:t>
      </w:r>
      <w:r>
        <w:rPr>
          <w:rFonts w:hint="eastAsia"/>
          <w:color w:val="auto"/>
        </w:rPr>
        <w:t>尚未对单位产品综合能耗进行</w:t>
      </w:r>
      <w:r>
        <w:rPr>
          <w:color w:val="auto"/>
        </w:rPr>
        <w:t>测算</w:t>
      </w:r>
      <w:r>
        <w:rPr>
          <w:rFonts w:hint="eastAsia"/>
          <w:color w:val="auto"/>
        </w:rPr>
        <w:t>和对标</w:t>
      </w:r>
      <w:r>
        <w:rPr>
          <w:color w:val="auto"/>
        </w:rPr>
        <w:t>。</w:t>
      </w:r>
    </w:p>
    <w:p>
      <w:pPr>
        <w:pStyle w:val="4"/>
        <w:ind w:firstLine="602"/>
        <w:rPr>
          <w:color w:val="auto"/>
        </w:rPr>
      </w:pPr>
      <w:bookmarkStart w:id="47" w:name="_Toc40625182"/>
      <w:r>
        <w:rPr>
          <w:rFonts w:hint="eastAsia"/>
          <w:color w:val="auto"/>
        </w:rPr>
        <w:t>5.2.3其它行业</w:t>
      </w:r>
      <w:bookmarkEnd w:id="47"/>
    </w:p>
    <w:p>
      <w:pPr>
        <w:ind w:firstLine="560"/>
        <w:rPr>
          <w:color w:val="auto"/>
        </w:rPr>
      </w:pPr>
      <w:r>
        <w:rPr>
          <w:rFonts w:hint="eastAsia"/>
          <w:color w:val="auto"/>
        </w:rPr>
        <w:t>（1）高新区</w:t>
      </w:r>
      <w:r>
        <w:rPr>
          <w:color w:val="auto"/>
        </w:rPr>
        <w:t>纺织企业</w:t>
      </w:r>
      <w:r>
        <w:rPr>
          <w:rFonts w:hint="eastAsia"/>
          <w:color w:val="auto"/>
        </w:rPr>
        <w:t>主要</w:t>
      </w:r>
      <w:r>
        <w:rPr>
          <w:color w:val="auto"/>
        </w:rPr>
        <w:t>为</w:t>
      </w:r>
      <w:r>
        <w:rPr>
          <w:rFonts w:hint="eastAsia"/>
          <w:color w:val="auto"/>
        </w:rPr>
        <w:t>天化</w:t>
      </w:r>
      <w:r>
        <w:rPr>
          <w:color w:val="auto"/>
        </w:rPr>
        <w:t>麻业、</w:t>
      </w:r>
      <w:r>
        <w:rPr>
          <w:rFonts w:hint="eastAsia"/>
          <w:color w:val="auto"/>
        </w:rPr>
        <w:t>瑞雅毛巾、维新纺织等</w:t>
      </w:r>
      <w:r>
        <w:rPr>
          <w:color w:val="auto"/>
        </w:rPr>
        <w:t>企业</w:t>
      </w:r>
      <w:r>
        <w:rPr>
          <w:rFonts w:hint="eastAsia"/>
          <w:color w:val="auto"/>
        </w:rPr>
        <w:t>，</w:t>
      </w:r>
      <w:r>
        <w:rPr>
          <w:color w:val="auto"/>
        </w:rPr>
        <w:t>其中耗能最多的天化麻业</w:t>
      </w:r>
      <w:r>
        <w:rPr>
          <w:rFonts w:hint="eastAsia"/>
          <w:color w:val="auto"/>
        </w:rPr>
        <w:t>主要生产苎麻棉混纺本色纱线，吨产品能耗为0.44kgce/t，由于主要产品为苎麻棉混纺纱线，暂无对应能耗限额标准。</w:t>
      </w:r>
    </w:p>
    <w:p>
      <w:pPr>
        <w:ind w:firstLine="560"/>
        <w:rPr>
          <w:color w:val="auto"/>
        </w:rPr>
      </w:pPr>
      <w:r>
        <w:rPr>
          <w:rFonts w:hint="eastAsia"/>
          <w:color w:val="auto"/>
        </w:rPr>
        <w:t>（2）区内仅有</w:t>
      </w:r>
      <w:r>
        <w:rPr>
          <w:color w:val="auto"/>
        </w:rPr>
        <w:t>的一家造纸企业——</w:t>
      </w:r>
      <w:r>
        <w:rPr>
          <w:rFonts w:hint="eastAsia"/>
          <w:color w:val="auto"/>
        </w:rPr>
        <w:t>恒丰纸业主要</w:t>
      </w:r>
      <w:r>
        <w:rPr>
          <w:color w:val="auto"/>
        </w:rPr>
        <w:t>产品</w:t>
      </w:r>
      <w:r>
        <w:rPr>
          <w:rFonts w:hint="eastAsia"/>
          <w:color w:val="auto"/>
        </w:rPr>
        <w:t>铝箔衬纸单位产品能耗为467kgce/t，由于工艺技术要求，其单位产品能耗高于常规纸品，暂无对应能耗限额标准。</w:t>
      </w:r>
    </w:p>
    <w:p>
      <w:pPr>
        <w:ind w:firstLine="560"/>
        <w:rPr>
          <w:color w:val="auto"/>
        </w:rPr>
      </w:pPr>
      <w:r>
        <w:rPr>
          <w:rFonts w:hint="eastAsia"/>
          <w:color w:val="auto"/>
        </w:rPr>
        <w:t>（3）区域</w:t>
      </w:r>
      <w:r>
        <w:rPr>
          <w:color w:val="auto"/>
        </w:rPr>
        <w:t>金属制品业</w:t>
      </w:r>
      <w:r>
        <w:rPr>
          <w:rFonts w:hint="eastAsia"/>
          <w:color w:val="auto"/>
        </w:rPr>
        <w:t>主要</w:t>
      </w:r>
      <w:r>
        <w:rPr>
          <w:color w:val="auto"/>
        </w:rPr>
        <w:t>为金属包装</w:t>
      </w:r>
      <w:r>
        <w:rPr>
          <w:rFonts w:hint="eastAsia"/>
          <w:color w:val="auto"/>
        </w:rPr>
        <w:t>制罐行业</w:t>
      </w:r>
      <w:r>
        <w:rPr>
          <w:color w:val="auto"/>
        </w:rPr>
        <w:t>，</w:t>
      </w:r>
      <w:r>
        <w:rPr>
          <w:rFonts w:hint="eastAsia"/>
          <w:color w:val="auto"/>
        </w:rPr>
        <w:t>暂无对应能耗限额标准</w:t>
      </w:r>
      <w:r>
        <w:rPr>
          <w:color w:val="auto"/>
        </w:rPr>
        <w:t>。</w:t>
      </w:r>
    </w:p>
    <w:p>
      <w:pPr>
        <w:pStyle w:val="3"/>
        <w:ind w:firstLine="643"/>
        <w:rPr>
          <w:color w:val="auto"/>
        </w:rPr>
      </w:pPr>
      <w:bookmarkStart w:id="48" w:name="_Toc40625183"/>
      <w:r>
        <w:rPr>
          <w:rFonts w:hint="eastAsia"/>
          <w:color w:val="auto"/>
        </w:rPr>
        <w:t>5</w:t>
      </w:r>
      <w:r>
        <w:rPr>
          <w:color w:val="auto"/>
        </w:rPr>
        <w:t>.3</w:t>
      </w:r>
      <w:r>
        <w:rPr>
          <w:rFonts w:hint="eastAsia"/>
          <w:color w:val="auto"/>
        </w:rPr>
        <w:t>区域主要企业用能分析</w:t>
      </w:r>
      <w:bookmarkEnd w:id="48"/>
    </w:p>
    <w:p>
      <w:pPr>
        <w:ind w:firstLine="560"/>
        <w:rPr>
          <w:color w:val="auto"/>
        </w:rPr>
      </w:pPr>
      <w:r>
        <w:rPr>
          <w:rFonts w:hint="eastAsia"/>
          <w:color w:val="auto"/>
        </w:rPr>
        <w:t>根据开发区统计部门提供的能源消耗量统计数据，201</w:t>
      </w:r>
      <w:r>
        <w:rPr>
          <w:color w:val="auto"/>
        </w:rPr>
        <w:t>9</w:t>
      </w:r>
      <w:r>
        <w:rPr>
          <w:rFonts w:hint="eastAsia"/>
          <w:color w:val="auto"/>
        </w:rPr>
        <w:t>年能源消费量在5000吨标准煤以上的企业重点用能企业达</w:t>
      </w:r>
      <w:r>
        <w:rPr>
          <w:color w:val="auto"/>
        </w:rPr>
        <w:t>4</w:t>
      </w:r>
      <w:r>
        <w:rPr>
          <w:rFonts w:hint="eastAsia"/>
          <w:color w:val="auto"/>
        </w:rPr>
        <w:t>家，为玻璃制造</w:t>
      </w:r>
      <w:r>
        <w:rPr>
          <w:color w:val="auto"/>
        </w:rPr>
        <w:t>和饮料生产</w:t>
      </w:r>
      <w:r>
        <w:rPr>
          <w:rFonts w:hint="eastAsia"/>
          <w:color w:val="auto"/>
        </w:rPr>
        <w:t>企业；万吨以上企业</w:t>
      </w:r>
      <w:r>
        <w:rPr>
          <w:color w:val="auto"/>
        </w:rPr>
        <w:t>2</w:t>
      </w:r>
      <w:r>
        <w:rPr>
          <w:rFonts w:hint="eastAsia"/>
          <w:color w:val="auto"/>
        </w:rPr>
        <w:t>家，均为</w:t>
      </w:r>
      <w:r>
        <w:rPr>
          <w:color w:val="auto"/>
        </w:rPr>
        <w:t>玻璃制造企业</w:t>
      </w:r>
      <w:r>
        <w:rPr>
          <w:rFonts w:hint="eastAsia"/>
          <w:color w:val="auto"/>
        </w:rPr>
        <w:t>。</w:t>
      </w:r>
    </w:p>
    <w:p>
      <w:pPr>
        <w:ind w:firstLine="560"/>
        <w:rPr>
          <w:color w:val="auto"/>
        </w:rPr>
      </w:pPr>
      <w:r>
        <w:rPr>
          <w:rFonts w:hint="eastAsia"/>
          <w:color w:val="auto"/>
        </w:rPr>
        <w:t>2019年</w:t>
      </w:r>
      <w:r>
        <w:rPr>
          <w:color w:val="auto"/>
        </w:rPr>
        <w:t>，</w:t>
      </w:r>
      <w:r>
        <w:rPr>
          <w:rFonts w:hint="eastAsia"/>
          <w:color w:val="auto"/>
        </w:rPr>
        <w:t>区内能源消耗量</w:t>
      </w:r>
      <w:r>
        <w:rPr>
          <w:color w:val="auto"/>
        </w:rPr>
        <w:t>前</w:t>
      </w:r>
      <w:r>
        <w:rPr>
          <w:rFonts w:hint="eastAsia"/>
          <w:color w:val="auto"/>
        </w:rPr>
        <w:t>15的</w:t>
      </w:r>
      <w:r>
        <w:rPr>
          <w:color w:val="auto"/>
        </w:rPr>
        <w:t>规上</w:t>
      </w:r>
      <w:r>
        <w:rPr>
          <w:rFonts w:hint="eastAsia"/>
          <w:color w:val="auto"/>
        </w:rPr>
        <w:t>企业合计年能源消费</w:t>
      </w:r>
      <w:r>
        <w:rPr>
          <w:color w:val="auto"/>
        </w:rPr>
        <w:t>量为199018.49tce</w:t>
      </w:r>
      <w:r>
        <w:rPr>
          <w:rFonts w:hint="eastAsia"/>
          <w:color w:val="auto"/>
        </w:rPr>
        <w:t>（当量值）</w:t>
      </w:r>
      <w:r>
        <w:rPr>
          <w:color w:val="auto"/>
        </w:rPr>
        <w:t>，占开发区规上企业能耗总量的</w:t>
      </w:r>
      <w:r>
        <w:rPr>
          <w:rFonts w:hint="eastAsia"/>
          <w:color w:val="auto"/>
        </w:rPr>
        <w:t>90.06</w:t>
      </w:r>
      <w:r>
        <w:rPr>
          <w:color w:val="auto"/>
        </w:rPr>
        <w:t>%，</w:t>
      </w:r>
      <w:r>
        <w:rPr>
          <w:rFonts w:hint="eastAsia"/>
          <w:color w:val="auto"/>
        </w:rPr>
        <w:t>其具体情况</w:t>
      </w:r>
      <w:r>
        <w:rPr>
          <w:color w:val="auto"/>
        </w:rPr>
        <w:t>如下</w:t>
      </w:r>
      <w:r>
        <w:rPr>
          <w:rFonts w:hint="eastAsia"/>
          <w:color w:val="auto"/>
        </w:rPr>
        <w:t>表所示</w:t>
      </w:r>
      <w:r>
        <w:rPr>
          <w:color w:val="auto"/>
        </w:rPr>
        <w:t>：</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12</w:t>
      </w:r>
      <w:r>
        <w:rPr>
          <w:color w:val="auto"/>
        </w:rPr>
        <w:fldChar w:fldCharType="end"/>
      </w:r>
      <w:r>
        <w:rPr>
          <w:color w:val="auto"/>
        </w:rPr>
        <w:t xml:space="preserve"> </w:t>
      </w:r>
      <w:r>
        <w:rPr>
          <w:rFonts w:hint="eastAsia"/>
          <w:color w:val="auto"/>
        </w:rPr>
        <w:t>咸宁高新区主要</w:t>
      </w:r>
      <w:r>
        <w:rPr>
          <w:color w:val="auto"/>
        </w:rPr>
        <w:t>耗能企业</w:t>
      </w:r>
      <w:r>
        <w:rPr>
          <w:rFonts w:hint="eastAsia"/>
          <w:color w:val="auto"/>
        </w:rPr>
        <w:t>情况表（当量值）</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0"/>
        <w:gridCol w:w="4110"/>
        <w:gridCol w:w="17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b/>
                <w:color w:val="auto"/>
                <w:sz w:val="24"/>
                <w:szCs w:val="24"/>
              </w:rPr>
            </w:pPr>
            <w:r>
              <w:rPr>
                <w:rFonts w:hint="eastAsia"/>
                <w:b/>
                <w:color w:val="auto"/>
                <w:sz w:val="24"/>
                <w:szCs w:val="24"/>
              </w:rPr>
              <w:t>序号</w:t>
            </w:r>
          </w:p>
        </w:tc>
        <w:tc>
          <w:tcPr>
            <w:tcW w:w="4110" w:type="dxa"/>
            <w:noWrap/>
            <w:vAlign w:val="center"/>
          </w:tcPr>
          <w:p>
            <w:pPr>
              <w:spacing w:line="240" w:lineRule="auto"/>
              <w:ind w:firstLine="0" w:firstLineChars="0"/>
              <w:jc w:val="center"/>
              <w:rPr>
                <w:b/>
                <w:color w:val="auto"/>
                <w:sz w:val="24"/>
                <w:szCs w:val="24"/>
              </w:rPr>
            </w:pPr>
            <w:r>
              <w:rPr>
                <w:rFonts w:hint="eastAsia"/>
                <w:b/>
                <w:color w:val="auto"/>
                <w:sz w:val="24"/>
                <w:szCs w:val="24"/>
              </w:rPr>
              <w:t>企业</w:t>
            </w:r>
            <w:r>
              <w:rPr>
                <w:b/>
                <w:color w:val="auto"/>
                <w:sz w:val="24"/>
                <w:szCs w:val="24"/>
              </w:rPr>
              <w:t>名称</w:t>
            </w:r>
          </w:p>
        </w:tc>
        <w:tc>
          <w:tcPr>
            <w:tcW w:w="1701" w:type="dxa"/>
            <w:noWrap/>
            <w:vAlign w:val="center"/>
          </w:tcPr>
          <w:p>
            <w:pPr>
              <w:spacing w:line="240" w:lineRule="auto"/>
              <w:ind w:firstLine="0" w:firstLineChars="0"/>
              <w:jc w:val="center"/>
              <w:rPr>
                <w:b/>
                <w:color w:val="auto"/>
                <w:sz w:val="24"/>
                <w:szCs w:val="24"/>
              </w:rPr>
            </w:pPr>
            <w:r>
              <w:rPr>
                <w:rFonts w:hint="eastAsia"/>
                <w:b/>
                <w:color w:val="auto"/>
                <w:sz w:val="24"/>
                <w:szCs w:val="24"/>
              </w:rPr>
              <w:t>年</w:t>
            </w:r>
            <w:r>
              <w:rPr>
                <w:b/>
                <w:color w:val="auto"/>
                <w:sz w:val="24"/>
                <w:szCs w:val="24"/>
              </w:rPr>
              <w:t>能源消耗量</w:t>
            </w:r>
          </w:p>
          <w:p>
            <w:pPr>
              <w:spacing w:line="240" w:lineRule="auto"/>
              <w:ind w:firstLine="0" w:firstLineChars="0"/>
              <w:jc w:val="center"/>
              <w:rPr>
                <w:b/>
                <w:color w:val="auto"/>
                <w:sz w:val="24"/>
                <w:szCs w:val="24"/>
              </w:rPr>
            </w:pPr>
            <w:r>
              <w:rPr>
                <w:rFonts w:hint="eastAsia"/>
                <w:b/>
                <w:color w:val="auto"/>
                <w:sz w:val="24"/>
                <w:szCs w:val="24"/>
              </w:rPr>
              <w:t>（tce）</w:t>
            </w:r>
          </w:p>
        </w:tc>
        <w:tc>
          <w:tcPr>
            <w:tcW w:w="1559" w:type="dxa"/>
            <w:vAlign w:val="center"/>
          </w:tcPr>
          <w:p>
            <w:pPr>
              <w:spacing w:line="240" w:lineRule="auto"/>
              <w:ind w:firstLine="0" w:firstLineChars="0"/>
              <w:jc w:val="center"/>
              <w:rPr>
                <w:b/>
                <w:color w:val="auto"/>
                <w:sz w:val="24"/>
                <w:szCs w:val="24"/>
              </w:rPr>
            </w:pPr>
            <w:r>
              <w:rPr>
                <w:rFonts w:hint="eastAsia"/>
                <w:b/>
                <w:color w:val="auto"/>
                <w:sz w:val="24"/>
                <w:szCs w:val="24"/>
              </w:rPr>
              <w:t>占比</w:t>
            </w:r>
          </w:p>
          <w:p>
            <w:pPr>
              <w:spacing w:line="240" w:lineRule="auto"/>
              <w:ind w:firstLine="0" w:firstLineChars="0"/>
              <w:jc w:val="center"/>
              <w:rPr>
                <w:b/>
                <w:color w:val="auto"/>
                <w:sz w:val="24"/>
                <w:szCs w:val="24"/>
              </w:rPr>
            </w:pPr>
            <w:r>
              <w:rPr>
                <w:rFonts w:hint="eastAsia"/>
                <w:b/>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w:t>
            </w:r>
          </w:p>
        </w:tc>
        <w:tc>
          <w:tcPr>
            <w:tcW w:w="4110" w:type="dxa"/>
            <w:noWrap/>
            <w:vAlign w:val="center"/>
          </w:tcPr>
          <w:p>
            <w:pPr>
              <w:spacing w:line="240" w:lineRule="auto"/>
              <w:ind w:firstLine="0" w:firstLineChars="0"/>
              <w:jc w:val="center"/>
              <w:rPr>
                <w:color w:val="auto"/>
                <w:sz w:val="24"/>
                <w:szCs w:val="24"/>
              </w:rPr>
            </w:pPr>
            <w:r>
              <w:rPr>
                <w:color w:val="auto"/>
                <w:sz w:val="24"/>
                <w:szCs w:val="24"/>
              </w:rPr>
              <w:t>咸宁南玻玻璃有限公司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127903.76</w:t>
            </w:r>
          </w:p>
        </w:tc>
        <w:tc>
          <w:tcPr>
            <w:tcW w:w="1559" w:type="dxa"/>
            <w:vAlign w:val="center"/>
          </w:tcPr>
          <w:p>
            <w:pPr>
              <w:spacing w:line="240" w:lineRule="auto"/>
              <w:ind w:firstLine="0" w:firstLineChars="0"/>
              <w:jc w:val="center"/>
              <w:rPr>
                <w:color w:val="auto"/>
                <w:sz w:val="24"/>
                <w:szCs w:val="24"/>
              </w:rPr>
            </w:pPr>
            <w:r>
              <w:rPr>
                <w:color w:val="auto"/>
                <w:sz w:val="24"/>
                <w:szCs w:val="24"/>
              </w:rPr>
              <w:t>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2</w:t>
            </w:r>
          </w:p>
        </w:tc>
        <w:tc>
          <w:tcPr>
            <w:tcW w:w="4110" w:type="dxa"/>
            <w:noWrap/>
            <w:vAlign w:val="center"/>
          </w:tcPr>
          <w:p>
            <w:pPr>
              <w:spacing w:line="240" w:lineRule="auto"/>
              <w:ind w:firstLine="0" w:firstLineChars="0"/>
              <w:jc w:val="center"/>
              <w:rPr>
                <w:color w:val="auto"/>
                <w:sz w:val="24"/>
                <w:szCs w:val="24"/>
              </w:rPr>
            </w:pPr>
            <w:r>
              <w:rPr>
                <w:color w:val="auto"/>
                <w:sz w:val="24"/>
                <w:szCs w:val="24"/>
              </w:rPr>
              <w:t>咸宁南玻光电玻璃有限公司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23117.98</w:t>
            </w:r>
          </w:p>
        </w:tc>
        <w:tc>
          <w:tcPr>
            <w:tcW w:w="1559" w:type="dxa"/>
            <w:vAlign w:val="center"/>
          </w:tcPr>
          <w:p>
            <w:pPr>
              <w:spacing w:line="240" w:lineRule="auto"/>
              <w:ind w:firstLine="0" w:firstLineChars="0"/>
              <w:jc w:val="center"/>
              <w:rPr>
                <w:color w:val="auto"/>
                <w:sz w:val="24"/>
                <w:szCs w:val="24"/>
              </w:rPr>
            </w:pPr>
            <w:r>
              <w:rPr>
                <w:color w:val="auto"/>
                <w:sz w:val="24"/>
                <w:szCs w:val="24"/>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3</w:t>
            </w:r>
          </w:p>
        </w:tc>
        <w:tc>
          <w:tcPr>
            <w:tcW w:w="4110" w:type="dxa"/>
            <w:noWrap/>
            <w:vAlign w:val="center"/>
          </w:tcPr>
          <w:p>
            <w:pPr>
              <w:spacing w:line="240" w:lineRule="auto"/>
              <w:ind w:firstLine="0" w:firstLineChars="0"/>
              <w:jc w:val="center"/>
              <w:rPr>
                <w:color w:val="auto"/>
                <w:sz w:val="24"/>
                <w:szCs w:val="24"/>
              </w:rPr>
            </w:pPr>
            <w:r>
              <w:rPr>
                <w:color w:val="auto"/>
                <w:sz w:val="24"/>
                <w:szCs w:val="24"/>
              </w:rPr>
              <w:t>红牛维他命饮料（湖北）有限公司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7280.62</w:t>
            </w:r>
          </w:p>
        </w:tc>
        <w:tc>
          <w:tcPr>
            <w:tcW w:w="1559" w:type="dxa"/>
            <w:vAlign w:val="center"/>
          </w:tcPr>
          <w:p>
            <w:pPr>
              <w:spacing w:line="240" w:lineRule="auto"/>
              <w:ind w:firstLine="0" w:firstLineChars="0"/>
              <w:jc w:val="center"/>
              <w:rPr>
                <w:color w:val="auto"/>
                <w:sz w:val="24"/>
                <w:szCs w:val="24"/>
              </w:rPr>
            </w:pPr>
            <w:r>
              <w:rPr>
                <w:color w:val="auto"/>
                <w:sz w:val="24"/>
                <w:szCs w:val="24"/>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4</w:t>
            </w:r>
          </w:p>
        </w:tc>
        <w:tc>
          <w:tcPr>
            <w:tcW w:w="4110" w:type="dxa"/>
            <w:noWrap/>
            <w:vAlign w:val="center"/>
          </w:tcPr>
          <w:p>
            <w:pPr>
              <w:spacing w:line="240" w:lineRule="auto"/>
              <w:ind w:firstLine="0" w:firstLineChars="0"/>
              <w:jc w:val="center"/>
              <w:rPr>
                <w:color w:val="auto"/>
                <w:sz w:val="24"/>
                <w:szCs w:val="24"/>
              </w:rPr>
            </w:pPr>
            <w:r>
              <w:rPr>
                <w:color w:val="auto"/>
                <w:sz w:val="24"/>
                <w:szCs w:val="24"/>
              </w:rPr>
              <w:t>咸宁南玻节能玻璃有限公司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5551.79</w:t>
            </w:r>
          </w:p>
        </w:tc>
        <w:tc>
          <w:tcPr>
            <w:tcW w:w="1559" w:type="dxa"/>
            <w:vAlign w:val="center"/>
          </w:tcPr>
          <w:p>
            <w:pPr>
              <w:spacing w:line="240" w:lineRule="auto"/>
              <w:ind w:firstLine="0" w:firstLineChars="0"/>
              <w:jc w:val="center"/>
              <w:rPr>
                <w:color w:val="auto"/>
                <w:sz w:val="24"/>
                <w:szCs w:val="24"/>
              </w:rPr>
            </w:pPr>
            <w:r>
              <w:rPr>
                <w:color w:val="auto"/>
                <w:sz w:val="24"/>
                <w:szCs w:val="24"/>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5</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湖北奥瑞金饮料工业有限公司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4463.56</w:t>
            </w:r>
          </w:p>
        </w:tc>
        <w:tc>
          <w:tcPr>
            <w:tcW w:w="1559" w:type="dxa"/>
            <w:vAlign w:val="center"/>
          </w:tcPr>
          <w:p>
            <w:pPr>
              <w:spacing w:line="240" w:lineRule="auto"/>
              <w:ind w:firstLine="0" w:firstLineChars="0"/>
              <w:jc w:val="center"/>
              <w:rPr>
                <w:color w:val="auto"/>
                <w:sz w:val="24"/>
                <w:szCs w:val="24"/>
              </w:rPr>
            </w:pPr>
            <w:r>
              <w:rPr>
                <w:color w:val="auto"/>
                <w:sz w:val="24"/>
                <w:szCs w:val="24"/>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6</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湖北恒丰纸业有限公司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4204.64</w:t>
            </w:r>
          </w:p>
        </w:tc>
        <w:tc>
          <w:tcPr>
            <w:tcW w:w="1559" w:type="dxa"/>
            <w:vAlign w:val="center"/>
          </w:tcPr>
          <w:p>
            <w:pPr>
              <w:spacing w:line="240" w:lineRule="auto"/>
              <w:ind w:firstLine="0" w:firstLineChars="0"/>
              <w:jc w:val="center"/>
              <w:rPr>
                <w:color w:val="auto"/>
                <w:sz w:val="24"/>
                <w:szCs w:val="24"/>
              </w:rPr>
            </w:pPr>
            <w:r>
              <w:rPr>
                <w:color w:val="auto"/>
                <w:sz w:val="24"/>
                <w:szCs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7</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湖北天化麻业股份有限公司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3497.73</w:t>
            </w:r>
          </w:p>
        </w:tc>
        <w:tc>
          <w:tcPr>
            <w:tcW w:w="1559" w:type="dxa"/>
            <w:vAlign w:val="center"/>
          </w:tcPr>
          <w:p>
            <w:pPr>
              <w:spacing w:line="240" w:lineRule="auto"/>
              <w:ind w:firstLine="0" w:firstLineChars="0"/>
              <w:jc w:val="center"/>
              <w:rPr>
                <w:color w:val="auto"/>
                <w:sz w:val="24"/>
                <w:szCs w:val="24"/>
              </w:rPr>
            </w:pPr>
            <w:r>
              <w:rPr>
                <w:color w:val="auto"/>
                <w:sz w:val="24"/>
                <w:szCs w:val="24"/>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8</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湖北和乐门业有限公司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3305.42</w:t>
            </w:r>
          </w:p>
        </w:tc>
        <w:tc>
          <w:tcPr>
            <w:tcW w:w="1559" w:type="dxa"/>
            <w:vAlign w:val="center"/>
          </w:tcPr>
          <w:p>
            <w:pPr>
              <w:spacing w:line="240" w:lineRule="auto"/>
              <w:ind w:firstLine="0" w:firstLineChars="0"/>
              <w:jc w:val="center"/>
              <w:rPr>
                <w:color w:val="auto"/>
                <w:sz w:val="24"/>
                <w:szCs w:val="24"/>
              </w:rPr>
            </w:pPr>
            <w:r>
              <w:rPr>
                <w:color w:val="auto"/>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9</w:t>
            </w:r>
          </w:p>
        </w:tc>
        <w:tc>
          <w:tcPr>
            <w:tcW w:w="4110" w:type="dxa"/>
            <w:noWrap/>
            <w:vAlign w:val="center"/>
          </w:tcPr>
          <w:p>
            <w:pPr>
              <w:spacing w:line="240" w:lineRule="auto"/>
              <w:ind w:firstLine="0" w:firstLineChars="0"/>
              <w:jc w:val="center"/>
              <w:rPr>
                <w:color w:val="auto"/>
                <w:sz w:val="24"/>
                <w:szCs w:val="24"/>
              </w:rPr>
            </w:pPr>
            <w:r>
              <w:rPr>
                <w:color w:val="auto"/>
                <w:sz w:val="24"/>
                <w:szCs w:val="24"/>
              </w:rPr>
              <w:t>今麦郎饮品（咸宁）有限公司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3222.6</w:t>
            </w:r>
          </w:p>
        </w:tc>
        <w:tc>
          <w:tcPr>
            <w:tcW w:w="1559" w:type="dxa"/>
            <w:vAlign w:val="center"/>
          </w:tcPr>
          <w:p>
            <w:pPr>
              <w:spacing w:line="240" w:lineRule="auto"/>
              <w:ind w:firstLine="0" w:firstLineChars="0"/>
              <w:jc w:val="center"/>
              <w:rPr>
                <w:color w:val="auto"/>
                <w:sz w:val="24"/>
                <w:szCs w:val="24"/>
              </w:rPr>
            </w:pPr>
            <w:r>
              <w:rPr>
                <w:color w:val="auto"/>
                <w:sz w:val="24"/>
                <w:szCs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10</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湖北奥瑞金包装有限公司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3098.37</w:t>
            </w:r>
          </w:p>
        </w:tc>
        <w:tc>
          <w:tcPr>
            <w:tcW w:w="1559" w:type="dxa"/>
            <w:vAlign w:val="center"/>
          </w:tcPr>
          <w:p>
            <w:pPr>
              <w:spacing w:line="240" w:lineRule="auto"/>
              <w:ind w:firstLine="0" w:firstLineChars="0"/>
              <w:jc w:val="center"/>
              <w:rPr>
                <w:color w:val="auto"/>
                <w:sz w:val="24"/>
                <w:szCs w:val="24"/>
              </w:rPr>
            </w:pPr>
            <w:r>
              <w:rPr>
                <w:color w:val="auto"/>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11</w:t>
            </w:r>
          </w:p>
        </w:tc>
        <w:tc>
          <w:tcPr>
            <w:tcW w:w="4110" w:type="dxa"/>
            <w:noWrap/>
            <w:vAlign w:val="center"/>
          </w:tcPr>
          <w:p>
            <w:pPr>
              <w:spacing w:line="240" w:lineRule="auto"/>
              <w:ind w:firstLine="0" w:firstLineChars="0"/>
              <w:jc w:val="center"/>
              <w:rPr>
                <w:color w:val="auto"/>
                <w:sz w:val="24"/>
                <w:szCs w:val="24"/>
              </w:rPr>
            </w:pPr>
            <w:r>
              <w:rPr>
                <w:color w:val="auto"/>
                <w:sz w:val="24"/>
                <w:szCs w:val="24"/>
              </w:rPr>
              <w:t>华源包装（咸宁）有限公司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3066.21</w:t>
            </w:r>
          </w:p>
        </w:tc>
        <w:tc>
          <w:tcPr>
            <w:tcW w:w="1559" w:type="dxa"/>
            <w:vAlign w:val="center"/>
          </w:tcPr>
          <w:p>
            <w:pPr>
              <w:spacing w:line="240" w:lineRule="auto"/>
              <w:ind w:firstLine="0" w:firstLineChars="0"/>
              <w:jc w:val="center"/>
              <w:rPr>
                <w:color w:val="auto"/>
                <w:sz w:val="24"/>
                <w:szCs w:val="24"/>
              </w:rPr>
            </w:pPr>
            <w:r>
              <w:rPr>
                <w:color w:val="auto"/>
                <w:sz w:val="24"/>
                <w:szCs w:val="24"/>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12</w:t>
            </w:r>
          </w:p>
        </w:tc>
        <w:tc>
          <w:tcPr>
            <w:tcW w:w="4110" w:type="dxa"/>
            <w:noWrap/>
            <w:vAlign w:val="center"/>
          </w:tcPr>
          <w:p>
            <w:pPr>
              <w:spacing w:line="240" w:lineRule="auto"/>
              <w:ind w:firstLine="0" w:firstLineChars="0"/>
              <w:jc w:val="center"/>
              <w:rPr>
                <w:color w:val="auto"/>
                <w:sz w:val="24"/>
                <w:szCs w:val="24"/>
              </w:rPr>
            </w:pPr>
            <w:r>
              <w:rPr>
                <w:color w:val="auto"/>
                <w:sz w:val="24"/>
                <w:szCs w:val="24"/>
              </w:rPr>
              <w:t>咸宁润雅毛巾有限公司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2975.69</w:t>
            </w:r>
          </w:p>
        </w:tc>
        <w:tc>
          <w:tcPr>
            <w:tcW w:w="1559" w:type="dxa"/>
            <w:vAlign w:val="center"/>
          </w:tcPr>
          <w:p>
            <w:pPr>
              <w:spacing w:line="240" w:lineRule="auto"/>
              <w:ind w:firstLine="0" w:firstLineChars="0"/>
              <w:jc w:val="center"/>
              <w:rPr>
                <w:color w:val="auto"/>
                <w:sz w:val="24"/>
                <w:szCs w:val="24"/>
              </w:rPr>
            </w:pPr>
            <w:r>
              <w:rPr>
                <w:color w:val="auto"/>
                <w:sz w:val="24"/>
                <w:szCs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13</w:t>
            </w:r>
          </w:p>
        </w:tc>
        <w:tc>
          <w:tcPr>
            <w:tcW w:w="4110" w:type="dxa"/>
            <w:noWrap/>
            <w:vAlign w:val="center"/>
          </w:tcPr>
          <w:p>
            <w:pPr>
              <w:spacing w:line="240" w:lineRule="auto"/>
              <w:ind w:firstLine="0" w:firstLineChars="0"/>
              <w:jc w:val="center"/>
              <w:rPr>
                <w:color w:val="auto"/>
                <w:sz w:val="24"/>
                <w:szCs w:val="24"/>
              </w:rPr>
            </w:pPr>
            <w:r>
              <w:rPr>
                <w:color w:val="auto"/>
                <w:sz w:val="24"/>
                <w:szCs w:val="24"/>
              </w:rPr>
              <w:t>湖北奥瑞金制罐有限公司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2676.59</w:t>
            </w:r>
          </w:p>
        </w:tc>
        <w:tc>
          <w:tcPr>
            <w:tcW w:w="1559" w:type="dxa"/>
            <w:vAlign w:val="center"/>
          </w:tcPr>
          <w:p>
            <w:pPr>
              <w:spacing w:line="240" w:lineRule="auto"/>
              <w:ind w:firstLine="0" w:firstLineChars="0"/>
              <w:jc w:val="center"/>
              <w:rPr>
                <w:color w:val="auto"/>
                <w:sz w:val="24"/>
                <w:szCs w:val="24"/>
              </w:rPr>
            </w:pPr>
            <w:r>
              <w:rPr>
                <w:color w:val="auto"/>
                <w:sz w:val="24"/>
                <w:szCs w:val="24"/>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14</w:t>
            </w:r>
          </w:p>
        </w:tc>
        <w:tc>
          <w:tcPr>
            <w:tcW w:w="4110" w:type="dxa"/>
            <w:noWrap/>
            <w:vAlign w:val="center"/>
          </w:tcPr>
          <w:p>
            <w:pPr>
              <w:spacing w:line="240" w:lineRule="auto"/>
              <w:ind w:firstLine="0" w:firstLineChars="0"/>
              <w:jc w:val="center"/>
              <w:rPr>
                <w:color w:val="auto"/>
                <w:sz w:val="24"/>
                <w:szCs w:val="24"/>
              </w:rPr>
            </w:pPr>
            <w:r>
              <w:rPr>
                <w:color w:val="auto"/>
                <w:sz w:val="24"/>
                <w:szCs w:val="24"/>
              </w:rPr>
              <w:t>金士达医疗（咸宁）有限公司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2418.15</w:t>
            </w:r>
          </w:p>
        </w:tc>
        <w:tc>
          <w:tcPr>
            <w:tcW w:w="1559" w:type="dxa"/>
            <w:vAlign w:val="center"/>
          </w:tcPr>
          <w:p>
            <w:pPr>
              <w:spacing w:line="240" w:lineRule="auto"/>
              <w:ind w:firstLine="0" w:firstLineChars="0"/>
              <w:jc w:val="center"/>
              <w:rPr>
                <w:color w:val="auto"/>
                <w:sz w:val="24"/>
                <w:szCs w:val="24"/>
              </w:rPr>
            </w:pPr>
            <w:r>
              <w:rPr>
                <w:color w:val="auto"/>
                <w:sz w:val="24"/>
                <w:szCs w:val="24"/>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color w:val="auto"/>
                <w:sz w:val="24"/>
                <w:szCs w:val="24"/>
              </w:rPr>
              <w:t>15</w:t>
            </w:r>
          </w:p>
        </w:tc>
        <w:tc>
          <w:tcPr>
            <w:tcW w:w="4110" w:type="dxa"/>
            <w:noWrap/>
            <w:vAlign w:val="center"/>
          </w:tcPr>
          <w:p>
            <w:pPr>
              <w:spacing w:line="240" w:lineRule="auto"/>
              <w:ind w:firstLine="0" w:firstLineChars="0"/>
              <w:jc w:val="center"/>
              <w:rPr>
                <w:color w:val="auto"/>
                <w:sz w:val="24"/>
                <w:szCs w:val="24"/>
              </w:rPr>
            </w:pPr>
            <w:r>
              <w:rPr>
                <w:color w:val="auto"/>
                <w:sz w:val="24"/>
                <w:szCs w:val="24"/>
              </w:rPr>
              <w:t>咸宁联合水务有限公司</w:t>
            </w:r>
          </w:p>
        </w:tc>
        <w:tc>
          <w:tcPr>
            <w:tcW w:w="1701" w:type="dxa"/>
            <w:noWrap/>
            <w:vAlign w:val="center"/>
          </w:tcPr>
          <w:p>
            <w:pPr>
              <w:spacing w:line="240" w:lineRule="auto"/>
              <w:ind w:firstLine="0" w:firstLineChars="0"/>
              <w:jc w:val="center"/>
              <w:rPr>
                <w:color w:val="auto"/>
                <w:sz w:val="24"/>
                <w:szCs w:val="24"/>
              </w:rPr>
            </w:pPr>
            <w:r>
              <w:rPr>
                <w:color w:val="auto"/>
                <w:sz w:val="24"/>
                <w:szCs w:val="24"/>
              </w:rPr>
              <w:t>2235.38</w:t>
            </w:r>
          </w:p>
        </w:tc>
        <w:tc>
          <w:tcPr>
            <w:tcW w:w="1559" w:type="dxa"/>
            <w:vAlign w:val="center"/>
          </w:tcPr>
          <w:p>
            <w:pPr>
              <w:spacing w:line="240" w:lineRule="auto"/>
              <w:ind w:firstLine="0" w:firstLineChars="0"/>
              <w:jc w:val="center"/>
              <w:rPr>
                <w:color w:val="auto"/>
                <w:sz w:val="24"/>
                <w:szCs w:val="24"/>
              </w:rPr>
            </w:pPr>
            <w:r>
              <w:rPr>
                <w:color w:val="auto"/>
                <w:sz w:val="24"/>
                <w:szCs w:val="24"/>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rFonts w:hint="eastAsia"/>
                <w:color w:val="auto"/>
                <w:sz w:val="24"/>
                <w:szCs w:val="24"/>
              </w:rPr>
              <w:t>16</w:t>
            </w:r>
          </w:p>
        </w:tc>
        <w:tc>
          <w:tcPr>
            <w:tcW w:w="4110" w:type="dxa"/>
            <w:noWrap/>
            <w:vAlign w:val="center"/>
          </w:tcPr>
          <w:p>
            <w:pPr>
              <w:spacing w:line="240" w:lineRule="auto"/>
              <w:ind w:firstLine="0" w:firstLineChars="0"/>
              <w:jc w:val="center"/>
              <w:rPr>
                <w:color w:val="auto"/>
                <w:sz w:val="24"/>
                <w:szCs w:val="24"/>
              </w:rPr>
            </w:pPr>
            <w:r>
              <w:rPr>
                <w:rFonts w:hint="eastAsia"/>
                <w:color w:val="auto"/>
                <w:sz w:val="24"/>
                <w:szCs w:val="24"/>
              </w:rPr>
              <w:t>其他</w:t>
            </w:r>
            <w:r>
              <w:rPr>
                <w:color w:val="auto"/>
                <w:sz w:val="24"/>
                <w:szCs w:val="24"/>
              </w:rPr>
              <w:t>企业</w:t>
            </w:r>
          </w:p>
        </w:tc>
        <w:tc>
          <w:tcPr>
            <w:tcW w:w="1701" w:type="dxa"/>
            <w:noWrap/>
            <w:vAlign w:val="center"/>
          </w:tcPr>
          <w:p>
            <w:pPr>
              <w:spacing w:line="240" w:lineRule="auto"/>
              <w:ind w:firstLine="0" w:firstLineChars="0"/>
              <w:jc w:val="center"/>
              <w:rPr>
                <w:color w:val="auto"/>
                <w:sz w:val="24"/>
                <w:szCs w:val="24"/>
              </w:rPr>
            </w:pPr>
            <w:r>
              <w:rPr>
                <w:color w:val="auto"/>
                <w:sz w:val="24"/>
                <w:szCs w:val="24"/>
              </w:rPr>
              <w:t>21962.67</w:t>
            </w:r>
          </w:p>
        </w:tc>
        <w:tc>
          <w:tcPr>
            <w:tcW w:w="1559" w:type="dxa"/>
            <w:vAlign w:val="center"/>
          </w:tcPr>
          <w:p>
            <w:pPr>
              <w:spacing w:line="240" w:lineRule="auto"/>
              <w:ind w:firstLine="0" w:firstLineChars="0"/>
              <w:jc w:val="center"/>
              <w:rPr>
                <w:color w:val="auto"/>
                <w:sz w:val="24"/>
                <w:szCs w:val="24"/>
              </w:rPr>
            </w:pPr>
            <w:r>
              <w:rPr>
                <w:rFonts w:hint="eastAsia"/>
                <w:color w:val="auto"/>
                <w:sz w:val="24"/>
                <w:szCs w:val="24"/>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50" w:type="dxa"/>
            <w:vAlign w:val="center"/>
          </w:tcPr>
          <w:p>
            <w:pPr>
              <w:spacing w:line="240" w:lineRule="auto"/>
              <w:ind w:firstLine="0" w:firstLineChars="0"/>
              <w:jc w:val="center"/>
              <w:rPr>
                <w:color w:val="auto"/>
                <w:sz w:val="24"/>
                <w:szCs w:val="24"/>
              </w:rPr>
            </w:pPr>
            <w:r>
              <w:rPr>
                <w:rFonts w:hint="eastAsia"/>
                <w:color w:val="auto"/>
                <w:sz w:val="24"/>
                <w:szCs w:val="24"/>
              </w:rPr>
              <w:t>17</w:t>
            </w:r>
          </w:p>
        </w:tc>
        <w:tc>
          <w:tcPr>
            <w:tcW w:w="4110" w:type="dxa"/>
            <w:noWrap/>
            <w:vAlign w:val="center"/>
          </w:tcPr>
          <w:p>
            <w:pPr>
              <w:spacing w:line="240" w:lineRule="auto"/>
              <w:ind w:firstLine="0" w:firstLineChars="0"/>
              <w:jc w:val="center"/>
              <w:rPr>
                <w:color w:val="auto"/>
                <w:sz w:val="24"/>
                <w:szCs w:val="24"/>
              </w:rPr>
            </w:pPr>
            <w:r>
              <w:rPr>
                <w:rFonts w:hint="eastAsia"/>
                <w:color w:val="auto"/>
                <w:sz w:val="24"/>
                <w:szCs w:val="24"/>
              </w:rPr>
              <w:t>合计</w:t>
            </w:r>
          </w:p>
        </w:tc>
        <w:tc>
          <w:tcPr>
            <w:tcW w:w="1701" w:type="dxa"/>
            <w:noWrap/>
            <w:vAlign w:val="center"/>
          </w:tcPr>
          <w:p>
            <w:pPr>
              <w:spacing w:line="240" w:lineRule="auto"/>
              <w:ind w:firstLine="0" w:firstLineChars="0"/>
              <w:jc w:val="center"/>
              <w:rPr>
                <w:color w:val="auto"/>
                <w:sz w:val="24"/>
                <w:szCs w:val="24"/>
              </w:rPr>
            </w:pPr>
            <w:r>
              <w:rPr>
                <w:color w:val="auto"/>
                <w:sz w:val="24"/>
                <w:szCs w:val="24"/>
              </w:rPr>
              <w:t>220981.16</w:t>
            </w:r>
          </w:p>
        </w:tc>
        <w:tc>
          <w:tcPr>
            <w:tcW w:w="1559" w:type="dxa"/>
            <w:vAlign w:val="center"/>
          </w:tcPr>
          <w:p>
            <w:pPr>
              <w:spacing w:line="240" w:lineRule="auto"/>
              <w:ind w:firstLine="0" w:firstLineChars="0"/>
              <w:jc w:val="center"/>
              <w:rPr>
                <w:color w:val="auto"/>
                <w:sz w:val="24"/>
                <w:szCs w:val="24"/>
              </w:rPr>
            </w:pPr>
            <w:r>
              <w:rPr>
                <w:rFonts w:hint="eastAsia"/>
                <w:color w:val="auto"/>
                <w:sz w:val="24"/>
                <w:szCs w:val="24"/>
              </w:rPr>
              <w:t>100</w:t>
            </w:r>
          </w:p>
        </w:tc>
      </w:tr>
    </w:tbl>
    <w:p>
      <w:pPr>
        <w:ind w:firstLine="0" w:firstLineChars="0"/>
        <w:rPr>
          <w:color w:val="auto"/>
        </w:rPr>
      </w:pPr>
    </w:p>
    <w:p>
      <w:pPr>
        <w:keepNext/>
        <w:ind w:firstLine="0" w:firstLineChars="0"/>
        <w:jc w:val="center"/>
        <w:rPr>
          <w:color w:val="auto"/>
        </w:rPr>
      </w:pPr>
      <w:r>
        <w:rPr>
          <w:color w:val="auto"/>
        </w:rPr>
        <w:drawing>
          <wp:inline distT="0" distB="0" distL="0" distR="0">
            <wp:extent cx="5165090" cy="3952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73510" cy="3958950"/>
                    </a:xfrm>
                    <a:prstGeom prst="rect">
                      <a:avLst/>
                    </a:prstGeom>
                    <a:noFill/>
                  </pic:spPr>
                </pic:pic>
              </a:graphicData>
            </a:graphic>
          </wp:inline>
        </w:drawing>
      </w:r>
    </w:p>
    <w:p>
      <w:pPr>
        <w:pStyle w:val="9"/>
        <w:rPr>
          <w:color w:val="auto"/>
        </w:rPr>
      </w:pPr>
      <w:r>
        <w:rPr>
          <w:rFonts w:hint="eastAsia"/>
          <w:color w:val="auto"/>
        </w:rPr>
        <w:t xml:space="preserve">图5- </w:t>
      </w:r>
      <w:r>
        <w:rPr>
          <w:color w:val="auto"/>
        </w:rPr>
        <w:fldChar w:fldCharType="begin"/>
      </w:r>
      <w:r>
        <w:rPr>
          <w:color w:val="auto"/>
        </w:rPr>
        <w:instrText xml:space="preserve"> </w:instrText>
      </w:r>
      <w:r>
        <w:rPr>
          <w:rFonts w:hint="eastAsia"/>
          <w:color w:val="auto"/>
        </w:rPr>
        <w:instrText xml:space="preserve">SEQ 图5-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咸宁高新区主要耗能企业情况图</w:t>
      </w:r>
    </w:p>
    <w:p>
      <w:pPr>
        <w:ind w:firstLine="560"/>
        <w:rPr>
          <w:color w:val="auto"/>
        </w:rPr>
      </w:pPr>
      <w:r>
        <w:rPr>
          <w:rFonts w:hint="eastAsia"/>
          <w:color w:val="auto"/>
        </w:rPr>
        <w:t>本次评估选择区内具有行业代表性的企业进行用能分析，具体如下：</w:t>
      </w:r>
    </w:p>
    <w:p>
      <w:pPr>
        <w:pStyle w:val="4"/>
        <w:ind w:firstLine="602"/>
        <w:rPr>
          <w:color w:val="auto"/>
        </w:rPr>
      </w:pPr>
      <w:bookmarkStart w:id="49" w:name="_Toc40625184"/>
      <w:r>
        <w:rPr>
          <w:rFonts w:hint="eastAsia"/>
          <w:color w:val="auto"/>
        </w:rPr>
        <w:t>5.3.1咸宁南玻玻璃有限公司</w:t>
      </w:r>
      <w:bookmarkEnd w:id="49"/>
    </w:p>
    <w:p>
      <w:pPr>
        <w:ind w:firstLine="560"/>
        <w:rPr>
          <w:color w:val="auto"/>
        </w:rPr>
      </w:pPr>
      <w:r>
        <w:rPr>
          <w:rFonts w:hint="eastAsia"/>
          <w:color w:val="auto"/>
        </w:rPr>
        <w:t>咸宁南玻玻璃有限公司是中国南玻集团股份有限公司在湖北咸宁经济开发区设立的子公司，是集团中部战略的重要支点。公司成立于2011年3月，一期总投资人民币8.65亿元，目前已建成投产两条日熔化量均为700吨的国际一流优质特种玻璃生产线，年产量达50万吨。</w:t>
      </w:r>
    </w:p>
    <w:p>
      <w:pPr>
        <w:ind w:firstLine="560"/>
        <w:rPr>
          <w:color w:val="auto"/>
        </w:rPr>
      </w:pPr>
      <w:r>
        <w:rPr>
          <w:rFonts w:hint="eastAsia"/>
          <w:color w:val="auto"/>
        </w:rPr>
        <w:t>该公司拥有世界先进的生产设备、工艺技术和管理体系，采用德国DCS过程控制系统，保证生产稳定、高效运行；使用全套意大利、德国冷端设备，严格控制切割精度，具备生产16米超白超大板玻璃能力，产品研发和产品品质均处于国内领先水平，可满足客户的应用需求，其产品广泛应用于节能、光电、家电、家私、汽车、工程建筑玻璃等领域和行业。2013年6月，公司节能环保材料生产二线成功点火，扩大了生产规模，实现了资源共享与优势互补，极大提升了南玻集团在中部市场的领导地位及影响力。</w:t>
      </w:r>
    </w:p>
    <w:p>
      <w:pPr>
        <w:ind w:firstLine="560"/>
        <w:rPr>
          <w:color w:val="auto"/>
        </w:rPr>
      </w:pPr>
      <w:r>
        <w:rPr>
          <w:rFonts w:hint="eastAsia"/>
          <w:color w:val="auto"/>
        </w:rPr>
        <w:t>2014年9月，咸宁南玻公司成立了综合能源管理小组，由公司总经理担任组长，生产分管副总经理担任副组长。综合能源管理小组按职责分为监查组、改善组、综能组，各部门各施其职，积极推进综合能源管理。公司每年制定各项能源管理目标，并针对能源管理目标制度相关管理制度，综合能源管理工作持续有效推进。</w:t>
      </w:r>
    </w:p>
    <w:p>
      <w:pPr>
        <w:ind w:firstLine="560"/>
        <w:rPr>
          <w:color w:val="auto"/>
        </w:rPr>
      </w:pPr>
      <w:r>
        <w:rPr>
          <w:rFonts w:hint="eastAsia"/>
          <w:color w:val="auto"/>
        </w:rPr>
        <w:t>目前，咸宁南玻已建成11MWp的太阳能光伏电站和5.5MW余热电站，能够有效实现能源的循环利用，并与近年陆续完成了一线2#助燃风机、2条线池壁风机及备用槽底风机、主线变频改造，3#工频循环水泵节能改造项目。其中，太阳能光伏电工程</w:t>
      </w:r>
      <w:r>
        <w:rPr>
          <w:color w:val="auto"/>
        </w:rPr>
        <w:t>将</w:t>
      </w:r>
      <w:r>
        <w:rPr>
          <w:rFonts w:hint="eastAsia"/>
          <w:color w:val="auto"/>
        </w:rPr>
        <w:t>光伏组件安装位置利用厂房屋顶、车棚及部分厂区空地。总规模为11020.8</w:t>
      </w:r>
      <w:r>
        <w:rPr>
          <w:color w:val="auto"/>
        </w:rPr>
        <w:t>k</w:t>
      </w:r>
      <w:r>
        <w:rPr>
          <w:rFonts w:hint="eastAsia"/>
          <w:color w:val="auto"/>
        </w:rPr>
        <w:t>W，总投资10711.40万元人民币，单位投资9.72元/W，于2012年底动工建设，2013年6月建成投运，年均发电约958.8万kW</w:t>
      </w:r>
      <w:r>
        <w:rPr>
          <w:color w:val="auto"/>
        </w:rPr>
        <w:t>·</w:t>
      </w:r>
      <w:r>
        <w:rPr>
          <w:rFonts w:hint="eastAsia"/>
          <w:color w:val="auto"/>
        </w:rPr>
        <w:t>h；5.5MW余热发电站是利用两条浮法生产线窑炉产生的高温烟气，经过余热锅炉将锅炉里的水加热生产出过热蒸汽，过热蒸汽送到汽轮机中膨胀做功，将热能转换成机械能，进而带动发电机发出电力，所发电力回用于玻璃生产，余热电站投资约人民币2000万元，于2013年12月底开始动工，2014年8月成功并网发电。余热电站年平均发电量为4320万kW</w:t>
      </w:r>
      <w:r>
        <w:rPr>
          <w:color w:val="auto"/>
        </w:rPr>
        <w:t>·</w:t>
      </w:r>
      <w:r>
        <w:rPr>
          <w:rFonts w:hint="eastAsia"/>
          <w:color w:val="auto"/>
        </w:rPr>
        <w:t>h。</w:t>
      </w:r>
    </w:p>
    <w:p>
      <w:pPr>
        <w:ind w:firstLine="560"/>
        <w:rPr>
          <w:color w:val="auto"/>
        </w:rPr>
      </w:pPr>
      <w:r>
        <w:rPr>
          <w:rFonts w:hint="eastAsia"/>
          <w:color w:val="auto"/>
        </w:rPr>
        <w:t>2019年，咸宁南玻一线单位产品能耗为9.9kgce/标准箱、二线单位产品能耗为</w:t>
      </w:r>
      <w:r>
        <w:rPr>
          <w:color w:val="auto"/>
        </w:rPr>
        <w:t>10.8</w:t>
      </w:r>
      <w:r>
        <w:rPr>
          <w:rFonts w:hint="eastAsia"/>
          <w:color w:val="auto"/>
        </w:rPr>
        <w:t>kgce/标准箱。两条生产线单位产品能耗均满足国家限定值要求，其中，一线接近先进值要求。</w:t>
      </w:r>
    </w:p>
    <w:p>
      <w:pPr>
        <w:ind w:firstLine="560"/>
        <w:rPr>
          <w:color w:val="auto"/>
        </w:rPr>
      </w:pPr>
      <w:r>
        <w:rPr>
          <w:rFonts w:hint="eastAsia"/>
          <w:color w:val="auto"/>
        </w:rPr>
        <w:t>近年咸宁南玻玻璃有限公司主要能源消耗情况如下表所示：</w:t>
      </w:r>
    </w:p>
    <w:p>
      <w:pPr>
        <w:pStyle w:val="9"/>
        <w:keepNext/>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13</w:t>
      </w:r>
      <w:r>
        <w:rPr>
          <w:color w:val="auto"/>
        </w:rPr>
        <w:fldChar w:fldCharType="end"/>
      </w:r>
      <w:r>
        <w:rPr>
          <w:color w:val="auto"/>
        </w:rPr>
        <w:t xml:space="preserve"> </w:t>
      </w:r>
      <w:r>
        <w:rPr>
          <w:rFonts w:hint="eastAsia"/>
          <w:color w:val="auto"/>
        </w:rPr>
        <w:t>咸宁南玻玻璃有限公司主要能源消耗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8971</w:t>
            </w:r>
          </w:p>
        </w:tc>
        <w:tc>
          <w:tcPr>
            <w:tcW w:w="1424" w:type="dxa"/>
            <w:vAlign w:val="center"/>
          </w:tcPr>
          <w:p>
            <w:pPr>
              <w:spacing w:line="240" w:lineRule="auto"/>
              <w:ind w:firstLine="0" w:firstLineChars="0"/>
              <w:jc w:val="center"/>
              <w:rPr>
                <w:color w:val="auto"/>
                <w:sz w:val="24"/>
              </w:rPr>
            </w:pPr>
            <w:r>
              <w:rPr>
                <w:rFonts w:hint="eastAsia"/>
                <w:color w:val="auto"/>
                <w:sz w:val="24"/>
              </w:rPr>
              <w:t>8885</w:t>
            </w:r>
          </w:p>
        </w:tc>
        <w:tc>
          <w:tcPr>
            <w:tcW w:w="1424" w:type="dxa"/>
            <w:vAlign w:val="center"/>
          </w:tcPr>
          <w:p>
            <w:pPr>
              <w:spacing w:line="240" w:lineRule="auto"/>
              <w:ind w:firstLine="0" w:firstLineChars="0"/>
              <w:jc w:val="center"/>
              <w:rPr>
                <w:color w:val="auto"/>
                <w:sz w:val="24"/>
              </w:rPr>
            </w:pPr>
            <w:r>
              <w:rPr>
                <w:rFonts w:hint="eastAsia"/>
                <w:color w:val="auto"/>
                <w:sz w:val="24"/>
              </w:rPr>
              <w:t>9094</w:t>
            </w:r>
          </w:p>
        </w:tc>
        <w:tc>
          <w:tcPr>
            <w:tcW w:w="1425" w:type="dxa"/>
            <w:vAlign w:val="center"/>
          </w:tcPr>
          <w:p>
            <w:pPr>
              <w:spacing w:line="240" w:lineRule="auto"/>
              <w:ind w:firstLine="0" w:firstLineChars="0"/>
              <w:jc w:val="center"/>
              <w:rPr>
                <w:color w:val="auto"/>
                <w:sz w:val="24"/>
              </w:rPr>
            </w:pPr>
            <w:r>
              <w:rPr>
                <w:color w:val="auto"/>
                <w:sz w:val="24"/>
              </w:rPr>
              <w:t>9218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3764</w:t>
            </w:r>
          </w:p>
        </w:tc>
        <w:tc>
          <w:tcPr>
            <w:tcW w:w="1424" w:type="dxa"/>
            <w:vAlign w:val="center"/>
          </w:tcPr>
          <w:p>
            <w:pPr>
              <w:spacing w:line="240" w:lineRule="auto"/>
              <w:ind w:firstLine="0" w:firstLineChars="0"/>
              <w:jc w:val="center"/>
              <w:rPr>
                <w:color w:val="auto"/>
                <w:sz w:val="24"/>
              </w:rPr>
            </w:pPr>
            <w:r>
              <w:rPr>
                <w:rFonts w:hint="eastAsia"/>
                <w:color w:val="auto"/>
                <w:sz w:val="24"/>
              </w:rPr>
              <w:t>4531</w:t>
            </w:r>
          </w:p>
        </w:tc>
        <w:tc>
          <w:tcPr>
            <w:tcW w:w="1424" w:type="dxa"/>
            <w:vAlign w:val="center"/>
          </w:tcPr>
          <w:p>
            <w:pPr>
              <w:spacing w:line="240" w:lineRule="auto"/>
              <w:ind w:firstLine="0" w:firstLineChars="0"/>
              <w:jc w:val="center"/>
              <w:rPr>
                <w:color w:val="auto"/>
                <w:sz w:val="24"/>
              </w:rPr>
            </w:pPr>
            <w:r>
              <w:rPr>
                <w:rFonts w:hint="eastAsia"/>
                <w:color w:val="auto"/>
                <w:sz w:val="24"/>
              </w:rPr>
              <w:t>4211</w:t>
            </w:r>
          </w:p>
        </w:tc>
        <w:tc>
          <w:tcPr>
            <w:tcW w:w="1425" w:type="dxa"/>
            <w:vAlign w:val="center"/>
          </w:tcPr>
          <w:p>
            <w:pPr>
              <w:spacing w:line="240" w:lineRule="auto"/>
              <w:ind w:firstLine="0" w:firstLineChars="0"/>
              <w:jc w:val="center"/>
              <w:rPr>
                <w:color w:val="auto"/>
                <w:sz w:val="24"/>
              </w:rPr>
            </w:pPr>
            <w:r>
              <w:rPr>
                <w:color w:val="auto"/>
                <w:sz w:val="24"/>
              </w:rPr>
              <w:t>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color w:val="auto"/>
                <w:sz w:val="24"/>
              </w:rPr>
              <w:t>123940.26</w:t>
            </w:r>
          </w:p>
        </w:tc>
        <w:tc>
          <w:tcPr>
            <w:tcW w:w="1424" w:type="dxa"/>
            <w:vAlign w:val="center"/>
          </w:tcPr>
          <w:p>
            <w:pPr>
              <w:spacing w:line="240" w:lineRule="auto"/>
              <w:ind w:firstLine="0" w:firstLineChars="0"/>
              <w:jc w:val="center"/>
              <w:rPr>
                <w:color w:val="auto"/>
                <w:sz w:val="24"/>
              </w:rPr>
            </w:pPr>
            <w:r>
              <w:rPr>
                <w:color w:val="auto"/>
                <w:sz w:val="24"/>
              </w:rPr>
              <w:t>123739.1</w:t>
            </w:r>
          </w:p>
        </w:tc>
        <w:tc>
          <w:tcPr>
            <w:tcW w:w="1424" w:type="dxa"/>
            <w:vAlign w:val="center"/>
          </w:tcPr>
          <w:p>
            <w:pPr>
              <w:spacing w:line="240" w:lineRule="auto"/>
              <w:ind w:firstLine="0" w:firstLineChars="0"/>
              <w:jc w:val="center"/>
              <w:rPr>
                <w:color w:val="auto"/>
                <w:sz w:val="24"/>
              </w:rPr>
            </w:pPr>
            <w:r>
              <w:rPr>
                <w:color w:val="auto"/>
                <w:sz w:val="24"/>
              </w:rPr>
              <w:t>126125.52</w:t>
            </w:r>
          </w:p>
        </w:tc>
        <w:tc>
          <w:tcPr>
            <w:tcW w:w="1425" w:type="dxa"/>
            <w:vAlign w:val="center"/>
          </w:tcPr>
          <w:p>
            <w:pPr>
              <w:spacing w:line="240" w:lineRule="auto"/>
              <w:ind w:firstLine="0" w:firstLineChars="0"/>
              <w:jc w:val="center"/>
              <w:rPr>
                <w:color w:val="auto"/>
                <w:sz w:val="24"/>
              </w:rPr>
            </w:pPr>
            <w:r>
              <w:rPr>
                <w:color w:val="auto"/>
                <w:sz w:val="24"/>
              </w:rPr>
              <w:t>127903.76</w:t>
            </w:r>
          </w:p>
        </w:tc>
      </w:tr>
    </w:tbl>
    <w:p>
      <w:pPr>
        <w:spacing w:line="240" w:lineRule="auto"/>
        <w:ind w:firstLine="0" w:firstLineChars="0"/>
        <w:rPr>
          <w:color w:val="auto"/>
        </w:rPr>
      </w:pPr>
    </w:p>
    <w:p>
      <w:pPr>
        <w:pStyle w:val="4"/>
        <w:ind w:firstLine="602"/>
        <w:rPr>
          <w:color w:val="auto"/>
        </w:rPr>
      </w:pPr>
      <w:bookmarkStart w:id="50" w:name="_Toc40625185"/>
      <w:r>
        <w:rPr>
          <w:rFonts w:hint="eastAsia"/>
          <w:color w:val="auto"/>
        </w:rPr>
        <w:t>5.3.2咸宁南玻光电玻璃有限公司</w:t>
      </w:r>
      <w:bookmarkEnd w:id="50"/>
    </w:p>
    <w:p>
      <w:pPr>
        <w:ind w:firstLine="560"/>
        <w:rPr>
          <w:color w:val="auto"/>
        </w:rPr>
      </w:pPr>
      <w:r>
        <w:rPr>
          <w:rFonts w:hint="eastAsia"/>
          <w:color w:val="auto"/>
        </w:rPr>
        <w:t>咸宁南玻光电玻璃有限公司系南玻集团控股子公司，隶属于平板与电子玻璃事业部。公司成立于2015年8月，位于咸宁高新技术产业园区，注册资本2.5亿元人民币，占地面积265亩，总投资约10亿元。公司建有一条设计产能（日熔化量）为150吨/天的超薄电子玻璃生产线，能够生产厚度为0.2-8mm的高性能高铝超薄电子盖板玻璃及特种军工玻璃，目前成功研发出国际先进水平的KK6新高铝超薄电子玻璃，该产品已实现量产可以替代国外进口产品，属于工信部新材料鼓励类项目，也是国内为数不多具备生产0.2mm超薄电子玻璃及特种玻璃产品的企业。</w:t>
      </w:r>
    </w:p>
    <w:p>
      <w:pPr>
        <w:ind w:firstLine="560"/>
        <w:rPr>
          <w:color w:val="auto"/>
        </w:rPr>
      </w:pPr>
      <w:r>
        <w:rPr>
          <w:rFonts w:hint="eastAsia"/>
          <w:color w:val="auto"/>
        </w:rPr>
        <w:t>南玻光电的生产用能主要为电力和天然气，天然气消耗主要用于玻璃熔化过程中的工业窑炉；电力消耗主要用于生产过程中的电加热、离心机、空压机等设备。生产设备大部分为进口设备，采用全自动化，主要设备有DCS系统、自动配料系统、自动优化切裁系统、自动堆垛系统。主要用电设备实行智能化管控，采用环保电机节省能源。</w:t>
      </w:r>
    </w:p>
    <w:p>
      <w:pPr>
        <w:ind w:firstLine="0" w:firstLineChars="0"/>
        <w:rPr>
          <w:color w:val="auto"/>
        </w:rPr>
      </w:pPr>
      <w:r>
        <w:rPr>
          <w:color w:val="auto"/>
        </w:rPr>
        <w:t>公司</w:t>
      </w:r>
      <w:r>
        <w:rPr>
          <w:rFonts w:hint="eastAsia"/>
          <w:color w:val="auto"/>
        </w:rPr>
        <w:t>单位生产能耗约为1.4t</w:t>
      </w:r>
      <w:r>
        <w:rPr>
          <w:color w:val="auto"/>
        </w:rPr>
        <w:t>ce</w:t>
      </w:r>
      <w:r>
        <w:rPr>
          <w:rFonts w:hint="eastAsia"/>
          <w:color w:val="auto"/>
        </w:rPr>
        <w:t>/t玻璃液。</w:t>
      </w:r>
      <w:r>
        <w:rPr>
          <w:color w:val="auto"/>
        </w:rPr>
        <w:t xml:space="preserve"> </w:t>
      </w:r>
    </w:p>
    <w:p>
      <w:pPr>
        <w:ind w:firstLine="560"/>
        <w:rPr>
          <w:color w:val="auto"/>
        </w:rPr>
      </w:pPr>
      <w:r>
        <w:rPr>
          <w:rFonts w:hint="eastAsia"/>
          <w:color w:val="auto"/>
        </w:rPr>
        <w:t>南玻光电已设有能源管理小组，推行了能源管理体系，</w:t>
      </w:r>
      <w:r>
        <w:rPr>
          <w:color w:val="auto"/>
        </w:rPr>
        <w:t>自投入生产以来</w:t>
      </w:r>
      <w:r>
        <w:rPr>
          <w:rFonts w:hint="eastAsia"/>
          <w:color w:val="auto"/>
        </w:rPr>
        <w:t>十分重视能源结构优化，针对产品研发、耗能工艺用能进行了一系列管理节能技术改造，如液氨气化改造、压缩空气后处理改造、氨分解炉加保温、根据工艺调整压缩空气供气压力、利用设备余热供应溴化锂空调等，并建有光伏发电站，实现车棚和屋顶发电。</w:t>
      </w:r>
    </w:p>
    <w:p>
      <w:pPr>
        <w:ind w:firstLine="560"/>
        <w:rPr>
          <w:color w:val="auto"/>
        </w:rPr>
      </w:pPr>
      <w:r>
        <w:rPr>
          <w:rFonts w:hint="eastAsia"/>
          <w:color w:val="auto"/>
        </w:rPr>
        <w:t>该公司生产的高铝硅酸盐盖板玻璃不属于平板玻璃行业，属于新材料行业，暂无具体的行业能耗标准，其生产能耗与主要竞争对手对标均保持国内和国际先进水平。该公司已与湖北省质监局签订战略合作协议，正在推动高铝硅酸盐盖板新材料领域综合能耗国家标准、行业标准制定落实工作。</w:t>
      </w:r>
    </w:p>
    <w:p>
      <w:pPr>
        <w:ind w:firstLine="560"/>
        <w:rPr>
          <w:color w:val="auto"/>
        </w:rPr>
      </w:pPr>
      <w:r>
        <w:rPr>
          <w:rFonts w:hint="eastAsia"/>
          <w:color w:val="auto"/>
        </w:rPr>
        <w:t>近年咸宁南玻光电玻璃有限公司主要能源消耗情况如下表所示：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14</w:t>
      </w:r>
      <w:r>
        <w:rPr>
          <w:color w:val="auto"/>
        </w:rPr>
        <w:fldChar w:fldCharType="end"/>
      </w:r>
      <w:r>
        <w:rPr>
          <w:color w:val="auto"/>
        </w:rPr>
        <w:t xml:space="preserve"> </w:t>
      </w:r>
      <w:r>
        <w:rPr>
          <w:rFonts w:hint="eastAsia"/>
          <w:color w:val="auto"/>
        </w:rPr>
        <w:t>咸宁南玻光电玻璃有限公司近年主要能源消耗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5" w:type="dxa"/>
            <w:vAlign w:val="center"/>
          </w:tcPr>
          <w:p>
            <w:pPr>
              <w:spacing w:line="240" w:lineRule="auto"/>
              <w:ind w:firstLine="0" w:firstLineChars="0"/>
              <w:jc w:val="center"/>
              <w:rPr>
                <w:color w:val="auto"/>
                <w:sz w:val="24"/>
              </w:rPr>
            </w:pPr>
            <w:r>
              <w:rPr>
                <w:color w:val="auto"/>
                <w:sz w:val="24"/>
              </w:rPr>
              <w:t>1674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5" w:type="dxa"/>
            <w:vAlign w:val="center"/>
          </w:tcPr>
          <w:p>
            <w:pPr>
              <w:spacing w:line="240" w:lineRule="auto"/>
              <w:ind w:firstLine="0" w:firstLineChars="0"/>
              <w:jc w:val="center"/>
              <w:rPr>
                <w:color w:val="auto"/>
                <w:sz w:val="24"/>
              </w:rPr>
            </w:pPr>
            <w:r>
              <w:rPr>
                <w:color w:val="auto"/>
                <w:sz w:val="24"/>
              </w:rPr>
              <w:t>4283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color w:val="auto"/>
                <w:sz w:val="24"/>
              </w:rPr>
              <w:t>20584</w:t>
            </w:r>
          </w:p>
        </w:tc>
        <w:tc>
          <w:tcPr>
            <w:tcW w:w="1425" w:type="dxa"/>
            <w:vAlign w:val="center"/>
          </w:tcPr>
          <w:p>
            <w:pPr>
              <w:spacing w:line="240" w:lineRule="auto"/>
              <w:ind w:firstLine="0" w:firstLineChars="0"/>
              <w:jc w:val="center"/>
              <w:rPr>
                <w:color w:val="auto"/>
                <w:sz w:val="24"/>
              </w:rPr>
            </w:pPr>
            <w:r>
              <w:rPr>
                <w:color w:val="auto"/>
                <w:sz w:val="24"/>
              </w:rPr>
              <w:t>23117.98</w:t>
            </w:r>
          </w:p>
        </w:tc>
      </w:tr>
    </w:tbl>
    <w:p>
      <w:pPr>
        <w:spacing w:line="240" w:lineRule="auto"/>
        <w:ind w:firstLine="0" w:firstLineChars="0"/>
        <w:rPr>
          <w:color w:val="auto"/>
        </w:rPr>
      </w:pPr>
    </w:p>
    <w:p>
      <w:pPr>
        <w:pStyle w:val="4"/>
        <w:ind w:firstLine="602"/>
        <w:rPr>
          <w:color w:val="auto"/>
        </w:rPr>
      </w:pPr>
      <w:bookmarkStart w:id="51" w:name="_Toc40625186"/>
      <w:r>
        <w:rPr>
          <w:color w:val="auto"/>
        </w:rPr>
        <w:t>5</w:t>
      </w:r>
      <w:r>
        <w:rPr>
          <w:rFonts w:hint="eastAsia"/>
          <w:color w:val="auto"/>
        </w:rPr>
        <w:t>.5.3咸宁南玻节能玻璃有限公司</w:t>
      </w:r>
      <w:bookmarkEnd w:id="51"/>
    </w:p>
    <w:p>
      <w:pPr>
        <w:ind w:firstLine="560"/>
        <w:rPr>
          <w:color w:val="auto"/>
        </w:rPr>
      </w:pPr>
      <w:r>
        <w:rPr>
          <w:rFonts w:hint="eastAsia"/>
          <w:color w:val="auto"/>
        </w:rPr>
        <w:t>咸宁南玻节能玻璃有限公司成立于2014年，生产和销售无机非金属材料及制品（特种玻璃，节能环保玻璃，低辐射镀膜玻璃，热反射镀膜玻璃、导电膜玻璃及深加工产品）、平板玻璃深加工设备、LOW-E镀膜节能环保材料、优质节能环保材料基板等。主要产品为建筑节能玻璃：包括单银、双银、三银、钢化、彩釉、中空、夹层、易洁及抗灰、防火、防弹及复合玻璃，涵盖了所有建筑玻璃种类。</w:t>
      </w:r>
    </w:p>
    <w:p>
      <w:pPr>
        <w:ind w:firstLine="560"/>
        <w:rPr>
          <w:color w:val="auto"/>
        </w:rPr>
      </w:pPr>
      <w:r>
        <w:rPr>
          <w:rFonts w:hint="eastAsia"/>
          <w:color w:val="auto"/>
        </w:rPr>
        <w:t>该公司2013年2月一期项目投产，2014年10月二期项目投产。现共有7条切割线、7条磨边线、7条钢化线、7条中空线、2条镀膜线、2条夹层线、3台热浸炉等，主要生产设备90%以上为进口设备，其规模、技术均处于目前国内外同类工厂领先水平。公司年生产能力为：镀膜玻璃及大板年产能为700～1100万m</w:t>
      </w:r>
      <w:r>
        <w:rPr>
          <w:rFonts w:hint="eastAsia"/>
          <w:color w:val="auto"/>
          <w:vertAlign w:val="superscript"/>
        </w:rPr>
        <w:t>2</w:t>
      </w:r>
      <w:r>
        <w:rPr>
          <w:rFonts w:hint="eastAsia"/>
          <w:color w:val="auto"/>
        </w:rPr>
        <w:t>，LOW-E中空玻璃年产能为230万m</w:t>
      </w:r>
      <w:r>
        <w:rPr>
          <w:rFonts w:hint="eastAsia"/>
          <w:color w:val="auto"/>
          <w:vertAlign w:val="superscript"/>
        </w:rPr>
        <w:t>2</w:t>
      </w:r>
      <w:r>
        <w:rPr>
          <w:rFonts w:hint="eastAsia"/>
          <w:color w:val="auto"/>
        </w:rPr>
        <w:t>。</w:t>
      </w:r>
    </w:p>
    <w:p>
      <w:pPr>
        <w:ind w:firstLine="560"/>
        <w:rPr>
          <w:color w:val="auto"/>
        </w:rPr>
      </w:pPr>
      <w:r>
        <w:rPr>
          <w:rFonts w:hint="eastAsia"/>
          <w:color w:val="auto"/>
        </w:rPr>
        <w:t>目前</w:t>
      </w:r>
      <w:r>
        <w:rPr>
          <w:color w:val="auto"/>
        </w:rPr>
        <w:t>，</w:t>
      </w:r>
      <w:r>
        <w:rPr>
          <w:rFonts w:hint="eastAsia"/>
          <w:color w:val="auto"/>
        </w:rPr>
        <w:t>南玻节能现共有7种规格平面普通钢化玻璃、7种规格平面低辐射镀膜钢化玻璃、9种规格夹层玻璃通过了中国建材检验认证集团股份有限公司的产品认证，产品满足《绿色产品评价 建筑玻璃》（CTS</w:t>
      </w:r>
      <w:r>
        <w:rPr>
          <w:color w:val="auto"/>
        </w:rPr>
        <w:t xml:space="preserve"> </w:t>
      </w:r>
      <w:r>
        <w:rPr>
          <w:rFonts w:hint="eastAsia"/>
          <w:color w:val="auto"/>
        </w:rPr>
        <w:t>07002-2018）的AAA级要求。其中：平面普通钢化玻璃产品能耗≤3.22</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，平面低辐射镀膜钢化玻璃产品能耗≤3.99</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，夹层玻璃产品能耗≤4.0</w:t>
      </w:r>
      <w:r>
        <w:rPr>
          <w:color w:val="auto"/>
        </w:rPr>
        <w:t>k</w:t>
      </w:r>
      <w:r>
        <w:rPr>
          <w:rFonts w:hint="eastAsia"/>
          <w:color w:val="auto"/>
        </w:rPr>
        <w:t>W</w:t>
      </w:r>
      <w:r>
        <w:rPr>
          <w:color w:val="auto"/>
        </w:rPr>
        <w:t>·</w:t>
      </w:r>
      <w:r>
        <w:rPr>
          <w:rFonts w:hint="eastAsia"/>
          <w:color w:val="auto"/>
        </w:rPr>
        <w:t>h/m</w:t>
      </w:r>
      <w:r>
        <w:rPr>
          <w:rFonts w:hint="eastAsia"/>
          <w:color w:val="auto"/>
          <w:vertAlign w:val="superscript"/>
        </w:rPr>
        <w:t>2</w:t>
      </w:r>
      <w:r>
        <w:rPr>
          <w:rFonts w:hint="eastAsia"/>
          <w:color w:val="auto"/>
        </w:rPr>
        <w:t>，用水定额≤0.01m</w:t>
      </w:r>
      <w:r>
        <w:rPr>
          <w:rFonts w:hint="eastAsia"/>
          <w:color w:val="auto"/>
          <w:vertAlign w:val="superscript"/>
        </w:rPr>
        <w:t>3</w:t>
      </w:r>
      <w:r>
        <w:rPr>
          <w:rFonts w:hint="eastAsia"/>
          <w:color w:val="auto"/>
        </w:rPr>
        <w:t>/m</w:t>
      </w:r>
      <w:r>
        <w:rPr>
          <w:rFonts w:hint="eastAsia"/>
          <w:color w:val="auto"/>
          <w:vertAlign w:val="superscript"/>
        </w:rPr>
        <w:t>2</w:t>
      </w:r>
      <w:r>
        <w:rPr>
          <w:rFonts w:hint="eastAsia"/>
          <w:color w:val="auto"/>
        </w:rPr>
        <w:t>，水资源重复利用率≥90%。主要耗能设备为镀膜线、钢化线及夹层线，以电力</w:t>
      </w:r>
      <w:r>
        <w:rPr>
          <w:color w:val="auto"/>
        </w:rPr>
        <w:t>消耗</w:t>
      </w:r>
      <w:r>
        <w:rPr>
          <w:rFonts w:hint="eastAsia"/>
          <w:color w:val="auto"/>
        </w:rPr>
        <w:t>为主。公司已</w:t>
      </w:r>
      <w:r>
        <w:rPr>
          <w:color w:val="auto"/>
        </w:rPr>
        <w:t>建立了</w:t>
      </w:r>
      <w:r>
        <w:rPr>
          <w:rFonts w:hint="eastAsia"/>
          <w:color w:val="auto"/>
        </w:rPr>
        <w:t>能源管理体系，</w:t>
      </w:r>
      <w:r>
        <w:rPr>
          <w:color w:val="auto"/>
        </w:rPr>
        <w:t>并通过</w:t>
      </w:r>
      <w:r>
        <w:rPr>
          <w:rFonts w:hint="eastAsia"/>
          <w:color w:val="auto"/>
        </w:rPr>
        <w:t>提高设备载率、确保生产连续性、采用节能水泵、电机及电机变频节能技术、减少管路损失、保障真空密封、选用优质保温材料等</w:t>
      </w:r>
      <w:r>
        <w:rPr>
          <w:color w:val="auto"/>
        </w:rPr>
        <w:t>手段</w:t>
      </w:r>
      <w:r>
        <w:rPr>
          <w:rFonts w:hint="eastAsia"/>
          <w:color w:val="auto"/>
        </w:rPr>
        <w:t>，</w:t>
      </w:r>
      <w:r>
        <w:rPr>
          <w:color w:val="auto"/>
        </w:rPr>
        <w:t>不断提升</w:t>
      </w:r>
      <w:r>
        <w:rPr>
          <w:rFonts w:hint="eastAsia"/>
          <w:color w:val="auto"/>
        </w:rPr>
        <w:t>节能降耗水平</w:t>
      </w:r>
      <w:r>
        <w:rPr>
          <w:color w:val="auto"/>
        </w:rPr>
        <w:t>。</w:t>
      </w:r>
    </w:p>
    <w:p>
      <w:pPr>
        <w:ind w:firstLine="560"/>
        <w:rPr>
          <w:color w:val="auto"/>
        </w:rPr>
      </w:pPr>
      <w:r>
        <w:rPr>
          <w:rFonts w:hint="eastAsia"/>
          <w:color w:val="auto"/>
        </w:rPr>
        <w:t>近年咸宁南玻节能玻璃有限公司主要能源消耗情况如下表所示：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15</w:t>
      </w:r>
      <w:r>
        <w:rPr>
          <w:color w:val="auto"/>
        </w:rPr>
        <w:fldChar w:fldCharType="end"/>
      </w:r>
      <w:r>
        <w:rPr>
          <w:color w:val="auto"/>
        </w:rPr>
        <w:t xml:space="preserve"> </w:t>
      </w:r>
      <w:r>
        <w:rPr>
          <w:rFonts w:hint="eastAsia"/>
          <w:color w:val="auto"/>
        </w:rPr>
        <w:t>咸宁南玻节能玻璃有限公司近年主要能源消耗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color w:val="auto"/>
                <w:sz w:val="24"/>
              </w:rPr>
              <w:t>4347.13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color w:val="auto"/>
                <w:sz w:val="24"/>
              </w:rPr>
              <w:t>4836.91</w:t>
            </w:r>
          </w:p>
        </w:tc>
        <w:tc>
          <w:tcPr>
            <w:tcW w:w="1424" w:type="dxa"/>
            <w:vAlign w:val="center"/>
          </w:tcPr>
          <w:p>
            <w:pPr>
              <w:spacing w:line="240" w:lineRule="auto"/>
              <w:ind w:firstLine="0" w:firstLineChars="0"/>
              <w:jc w:val="center"/>
              <w:rPr>
                <w:color w:val="auto"/>
                <w:sz w:val="24"/>
              </w:rPr>
            </w:pPr>
            <w:r>
              <w:rPr>
                <w:color w:val="auto"/>
                <w:sz w:val="24"/>
              </w:rPr>
              <w:t>4493.32</w:t>
            </w:r>
          </w:p>
        </w:tc>
        <w:tc>
          <w:tcPr>
            <w:tcW w:w="1425" w:type="dxa"/>
            <w:vAlign w:val="center"/>
          </w:tcPr>
          <w:p>
            <w:pPr>
              <w:spacing w:line="240" w:lineRule="auto"/>
              <w:ind w:firstLine="0" w:firstLineChars="0"/>
              <w:jc w:val="center"/>
              <w:rPr>
                <w:color w:val="auto"/>
                <w:sz w:val="24"/>
              </w:rPr>
            </w:pPr>
            <w:r>
              <w:rPr>
                <w:color w:val="auto"/>
                <w:sz w:val="24"/>
              </w:rPr>
              <w:t>4517.32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color w:val="auto"/>
                <w:sz w:val="24"/>
              </w:rPr>
              <w:t>5342.62</w:t>
            </w:r>
          </w:p>
        </w:tc>
        <w:tc>
          <w:tcPr>
            <w:tcW w:w="1424" w:type="dxa"/>
            <w:vAlign w:val="center"/>
          </w:tcPr>
          <w:p>
            <w:pPr>
              <w:spacing w:line="240" w:lineRule="auto"/>
              <w:ind w:firstLine="0" w:firstLineChars="0"/>
              <w:jc w:val="center"/>
              <w:rPr>
                <w:color w:val="auto"/>
                <w:sz w:val="24"/>
              </w:rPr>
            </w:pPr>
            <w:r>
              <w:rPr>
                <w:color w:val="auto"/>
                <w:sz w:val="24"/>
              </w:rPr>
              <w:t>5944.56</w:t>
            </w:r>
          </w:p>
        </w:tc>
        <w:tc>
          <w:tcPr>
            <w:tcW w:w="1424" w:type="dxa"/>
            <w:vAlign w:val="center"/>
          </w:tcPr>
          <w:p>
            <w:pPr>
              <w:spacing w:line="240" w:lineRule="auto"/>
              <w:ind w:firstLine="0" w:firstLineChars="0"/>
              <w:jc w:val="center"/>
              <w:rPr>
                <w:color w:val="auto"/>
                <w:sz w:val="24"/>
              </w:rPr>
            </w:pPr>
            <w:r>
              <w:rPr>
                <w:color w:val="auto"/>
                <w:sz w:val="24"/>
              </w:rPr>
              <w:t>5522.29</w:t>
            </w:r>
          </w:p>
        </w:tc>
        <w:tc>
          <w:tcPr>
            <w:tcW w:w="1425" w:type="dxa"/>
            <w:vAlign w:val="center"/>
          </w:tcPr>
          <w:p>
            <w:pPr>
              <w:spacing w:line="240" w:lineRule="auto"/>
              <w:ind w:firstLine="0" w:firstLineChars="0"/>
              <w:jc w:val="center"/>
              <w:rPr>
                <w:color w:val="auto"/>
                <w:sz w:val="24"/>
              </w:rPr>
            </w:pPr>
            <w:r>
              <w:rPr>
                <w:color w:val="auto"/>
                <w:sz w:val="24"/>
              </w:rPr>
              <w:t>5551.79</w:t>
            </w:r>
          </w:p>
        </w:tc>
      </w:tr>
    </w:tbl>
    <w:p>
      <w:pPr>
        <w:spacing w:line="240" w:lineRule="auto"/>
        <w:ind w:firstLine="0" w:firstLineChars="0"/>
        <w:rPr>
          <w:color w:val="auto"/>
          <w:sz w:val="22"/>
        </w:rPr>
      </w:pPr>
    </w:p>
    <w:p>
      <w:pPr>
        <w:pStyle w:val="4"/>
        <w:ind w:firstLine="602"/>
        <w:rPr>
          <w:color w:val="auto"/>
        </w:rPr>
      </w:pPr>
      <w:bookmarkStart w:id="52" w:name="_Toc40625187"/>
      <w:r>
        <w:rPr>
          <w:color w:val="auto"/>
        </w:rPr>
        <w:t>5</w:t>
      </w:r>
      <w:r>
        <w:rPr>
          <w:rFonts w:hint="eastAsia"/>
          <w:color w:val="auto"/>
        </w:rPr>
        <w:t>.5.4红牛维他命饮料（湖北）有限公司</w:t>
      </w:r>
      <w:bookmarkEnd w:id="52"/>
    </w:p>
    <w:p>
      <w:pPr>
        <w:ind w:firstLine="560"/>
        <w:rPr>
          <w:color w:val="auto"/>
        </w:rPr>
      </w:pPr>
      <w:r>
        <w:rPr>
          <w:rFonts w:hint="eastAsia"/>
          <w:color w:val="auto"/>
        </w:rPr>
        <w:t>红牛维他命饮料（湖北）有限公司是由华彬（中国）投资集团有限公司设立的外商独资企业，于2005年8月26日在咸宁市工商行政管理局登记注册，注册资本为6000万美元。本公司经营范围：生产及销售保健食品：红牛维生素功能饮料系列产品；饮料加工及销售等。</w:t>
      </w:r>
    </w:p>
    <w:p>
      <w:pPr>
        <w:ind w:firstLine="560"/>
        <w:rPr>
          <w:color w:val="auto"/>
        </w:rPr>
      </w:pPr>
      <w:r>
        <w:rPr>
          <w:rFonts w:hint="eastAsia"/>
          <w:color w:val="auto"/>
        </w:rPr>
        <w:t>该公司总占地面积近600亩,目前三期项目生产线均已全部建成投产，（其中一期于2006年7月投产，二期于2009年7月投产，三期于2012年7月投产）已配备了六条三片罐红牛饮品的600罐/分进口生产线，年生产能力达到1</w:t>
      </w:r>
      <w:r>
        <w:rPr>
          <w:color w:val="auto"/>
        </w:rPr>
        <w:t>2亿</w:t>
      </w:r>
      <w:r>
        <w:rPr>
          <w:rFonts w:hint="eastAsia"/>
          <w:color w:val="auto"/>
        </w:rPr>
        <w:t>罐（5000万箱）30万吨红牛饮料生产经营规模。</w:t>
      </w:r>
    </w:p>
    <w:p>
      <w:pPr>
        <w:ind w:firstLine="560"/>
        <w:rPr>
          <w:color w:val="auto"/>
        </w:rPr>
      </w:pPr>
      <w:r>
        <w:rPr>
          <w:rFonts w:hint="eastAsia"/>
          <w:color w:val="auto"/>
        </w:rPr>
        <w:t>该公司主要能源消耗种类为天然气、电力与水。其采取的节能措施主要围绕降低电耗与天然气能耗展开，例如已完成的办公楼、车间仓库及园区路灯LED节能灯改造项目、锅炉车间烟气热能回收改造项目、灌装车间洗罐水热能回收改造项目。</w:t>
      </w:r>
    </w:p>
    <w:p>
      <w:pPr>
        <w:ind w:firstLine="560"/>
        <w:rPr>
          <w:color w:val="auto"/>
        </w:rPr>
      </w:pPr>
      <w:r>
        <w:rPr>
          <w:rFonts w:hint="eastAsia"/>
          <w:color w:val="auto"/>
        </w:rPr>
        <w:t>2019年，该公司单位产品用水量为（水比饮料）1.9，达到《饮料制造取水定额》（</w:t>
      </w:r>
      <w:r>
        <w:rPr>
          <w:color w:val="auto"/>
        </w:rPr>
        <w:t>QBT 2931-2008</w:t>
      </w:r>
      <w:r>
        <w:rPr>
          <w:rFonts w:hint="eastAsia"/>
          <w:color w:val="auto"/>
        </w:rPr>
        <w:t>）一级取水定额指标要求；综合能耗19.11kgce</w:t>
      </w:r>
      <w:r>
        <w:rPr>
          <w:color w:val="auto"/>
        </w:rPr>
        <w:t>/t</w:t>
      </w:r>
      <w:r>
        <w:rPr>
          <w:rFonts w:hint="eastAsia"/>
          <w:color w:val="auto"/>
        </w:rPr>
        <w:t>，达到《饮料制造综合能耗限额》（QBT 4069-2010）规定的先进值20.00</w:t>
      </w:r>
      <w:r>
        <w:rPr>
          <w:color w:val="auto"/>
        </w:rPr>
        <w:t xml:space="preserve"> kgce/t</w:t>
      </w:r>
      <w:r>
        <w:rPr>
          <w:rFonts w:hint="eastAsia"/>
          <w:color w:val="auto"/>
        </w:rPr>
        <w:t>要求。</w:t>
      </w:r>
    </w:p>
    <w:p>
      <w:pPr>
        <w:ind w:firstLine="560"/>
        <w:rPr>
          <w:color w:val="auto"/>
        </w:rPr>
      </w:pPr>
      <w:r>
        <w:rPr>
          <w:rFonts w:hint="eastAsia"/>
          <w:color w:val="auto"/>
        </w:rPr>
        <w:t>近年红牛维他命饮料（湖北）有限公司主要能源消耗情况如下表所示：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16</w:t>
      </w:r>
      <w:r>
        <w:rPr>
          <w:color w:val="auto"/>
        </w:rPr>
        <w:fldChar w:fldCharType="end"/>
      </w:r>
      <w:r>
        <w:rPr>
          <w:color w:val="auto"/>
        </w:rPr>
        <w:t xml:space="preserve"> </w:t>
      </w:r>
      <w:r>
        <w:rPr>
          <w:rFonts w:hint="eastAsia"/>
          <w:color w:val="auto"/>
        </w:rPr>
        <w:t>红牛维他命饮料（湖北）有限公司近年主要能源消耗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460</w:t>
            </w:r>
          </w:p>
        </w:tc>
        <w:tc>
          <w:tcPr>
            <w:tcW w:w="1424" w:type="dxa"/>
            <w:vAlign w:val="center"/>
          </w:tcPr>
          <w:p>
            <w:pPr>
              <w:spacing w:line="240" w:lineRule="auto"/>
              <w:ind w:firstLine="0" w:firstLineChars="0"/>
              <w:jc w:val="center"/>
              <w:rPr>
                <w:color w:val="auto"/>
                <w:sz w:val="24"/>
              </w:rPr>
            </w:pPr>
            <w:r>
              <w:rPr>
                <w:rFonts w:hint="eastAsia"/>
                <w:color w:val="auto"/>
                <w:sz w:val="24"/>
              </w:rPr>
              <w:t>352</w:t>
            </w:r>
          </w:p>
        </w:tc>
        <w:tc>
          <w:tcPr>
            <w:tcW w:w="1424" w:type="dxa"/>
            <w:vAlign w:val="center"/>
          </w:tcPr>
          <w:p>
            <w:pPr>
              <w:spacing w:line="240" w:lineRule="auto"/>
              <w:ind w:firstLine="0" w:firstLineChars="0"/>
              <w:jc w:val="center"/>
              <w:rPr>
                <w:color w:val="auto"/>
                <w:sz w:val="24"/>
              </w:rPr>
            </w:pPr>
            <w:r>
              <w:rPr>
                <w:rFonts w:hint="eastAsia"/>
                <w:color w:val="auto"/>
                <w:sz w:val="24"/>
              </w:rPr>
              <w:t>377</w:t>
            </w:r>
          </w:p>
        </w:tc>
        <w:tc>
          <w:tcPr>
            <w:tcW w:w="1425" w:type="dxa"/>
            <w:vAlign w:val="center"/>
          </w:tcPr>
          <w:p>
            <w:pPr>
              <w:spacing w:line="240" w:lineRule="auto"/>
              <w:ind w:firstLine="0" w:firstLineChars="0"/>
              <w:jc w:val="center"/>
              <w:rPr>
                <w:color w:val="auto"/>
                <w:sz w:val="24"/>
              </w:rPr>
            </w:pPr>
            <w:r>
              <w:rPr>
                <w:rFonts w:hint="eastAsia"/>
                <w:color w:val="auto"/>
                <w:sz w:val="24"/>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1443</w:t>
            </w:r>
          </w:p>
        </w:tc>
        <w:tc>
          <w:tcPr>
            <w:tcW w:w="1424" w:type="dxa"/>
            <w:vAlign w:val="center"/>
          </w:tcPr>
          <w:p>
            <w:pPr>
              <w:spacing w:line="240" w:lineRule="auto"/>
              <w:ind w:firstLine="0" w:firstLineChars="0"/>
              <w:jc w:val="center"/>
              <w:rPr>
                <w:color w:val="auto"/>
                <w:sz w:val="24"/>
              </w:rPr>
            </w:pPr>
            <w:r>
              <w:rPr>
                <w:rFonts w:hint="eastAsia"/>
                <w:color w:val="auto"/>
                <w:sz w:val="24"/>
              </w:rPr>
              <w:t>1243</w:t>
            </w:r>
          </w:p>
        </w:tc>
        <w:tc>
          <w:tcPr>
            <w:tcW w:w="1424" w:type="dxa"/>
            <w:vAlign w:val="center"/>
          </w:tcPr>
          <w:p>
            <w:pPr>
              <w:spacing w:line="240" w:lineRule="auto"/>
              <w:ind w:firstLine="0" w:firstLineChars="0"/>
              <w:jc w:val="center"/>
              <w:rPr>
                <w:color w:val="auto"/>
                <w:sz w:val="24"/>
              </w:rPr>
            </w:pPr>
            <w:r>
              <w:rPr>
                <w:rFonts w:hint="eastAsia"/>
                <w:color w:val="auto"/>
                <w:sz w:val="24"/>
              </w:rPr>
              <w:t>1264</w:t>
            </w:r>
          </w:p>
        </w:tc>
        <w:tc>
          <w:tcPr>
            <w:tcW w:w="1425" w:type="dxa"/>
            <w:vAlign w:val="center"/>
          </w:tcPr>
          <w:p>
            <w:pPr>
              <w:spacing w:line="240" w:lineRule="auto"/>
              <w:ind w:firstLine="0" w:firstLineChars="0"/>
              <w:jc w:val="center"/>
              <w:rPr>
                <w:color w:val="auto"/>
                <w:sz w:val="24"/>
              </w:rPr>
            </w:pPr>
            <w:r>
              <w:rPr>
                <w:rFonts w:hint="eastAsia"/>
                <w:color w:val="auto"/>
                <w:sz w:val="24"/>
              </w:rPr>
              <w:t>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汽油（t）</w:t>
            </w:r>
          </w:p>
        </w:tc>
        <w:tc>
          <w:tcPr>
            <w:tcW w:w="1424" w:type="dxa"/>
            <w:vAlign w:val="center"/>
          </w:tcPr>
          <w:p>
            <w:pPr>
              <w:spacing w:line="240" w:lineRule="auto"/>
              <w:ind w:firstLine="0" w:firstLineChars="0"/>
              <w:jc w:val="center"/>
              <w:rPr>
                <w:color w:val="auto"/>
                <w:sz w:val="24"/>
              </w:rPr>
            </w:pPr>
            <w:r>
              <w:rPr>
                <w:rFonts w:hint="eastAsia"/>
                <w:color w:val="auto"/>
                <w:sz w:val="24"/>
              </w:rPr>
              <w:t>3.93</w:t>
            </w:r>
          </w:p>
        </w:tc>
        <w:tc>
          <w:tcPr>
            <w:tcW w:w="1424" w:type="dxa"/>
            <w:vAlign w:val="center"/>
          </w:tcPr>
          <w:p>
            <w:pPr>
              <w:spacing w:line="240" w:lineRule="auto"/>
              <w:ind w:firstLine="0" w:firstLineChars="0"/>
              <w:jc w:val="center"/>
              <w:rPr>
                <w:color w:val="auto"/>
                <w:sz w:val="24"/>
              </w:rPr>
            </w:pPr>
            <w:r>
              <w:rPr>
                <w:rFonts w:hint="eastAsia"/>
                <w:color w:val="auto"/>
                <w:sz w:val="24"/>
              </w:rPr>
              <w:t>8.36</w:t>
            </w:r>
          </w:p>
        </w:tc>
        <w:tc>
          <w:tcPr>
            <w:tcW w:w="1424" w:type="dxa"/>
            <w:vAlign w:val="center"/>
          </w:tcPr>
          <w:p>
            <w:pPr>
              <w:spacing w:line="240" w:lineRule="auto"/>
              <w:ind w:firstLine="0" w:firstLineChars="0"/>
              <w:jc w:val="center"/>
              <w:rPr>
                <w:color w:val="auto"/>
                <w:sz w:val="24"/>
              </w:rPr>
            </w:pPr>
            <w:r>
              <w:rPr>
                <w:rFonts w:hint="eastAsia"/>
                <w:color w:val="auto"/>
                <w:sz w:val="24"/>
              </w:rPr>
              <w:t>10</w:t>
            </w:r>
          </w:p>
        </w:tc>
        <w:tc>
          <w:tcPr>
            <w:tcW w:w="1425" w:type="dxa"/>
            <w:vAlign w:val="center"/>
          </w:tcPr>
          <w:p>
            <w:pPr>
              <w:spacing w:line="240" w:lineRule="auto"/>
              <w:ind w:firstLine="0" w:firstLineChars="0"/>
              <w:jc w:val="center"/>
              <w:rPr>
                <w:color w:val="auto"/>
                <w:sz w:val="24"/>
              </w:rPr>
            </w:pPr>
            <w:r>
              <w:rPr>
                <w:rFonts w:hint="eastAsia"/>
                <w:color w:val="auto"/>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柴油（t）</w:t>
            </w:r>
          </w:p>
        </w:tc>
        <w:tc>
          <w:tcPr>
            <w:tcW w:w="1424" w:type="dxa"/>
            <w:vAlign w:val="center"/>
          </w:tcPr>
          <w:p>
            <w:pPr>
              <w:spacing w:line="240" w:lineRule="auto"/>
              <w:ind w:firstLine="0" w:firstLineChars="0"/>
              <w:jc w:val="center"/>
              <w:rPr>
                <w:color w:val="auto"/>
                <w:sz w:val="24"/>
              </w:rPr>
            </w:pPr>
            <w:r>
              <w:rPr>
                <w:rFonts w:hint="eastAsia"/>
                <w:color w:val="auto"/>
                <w:sz w:val="24"/>
              </w:rPr>
              <w:t>37.85</w:t>
            </w:r>
          </w:p>
        </w:tc>
        <w:tc>
          <w:tcPr>
            <w:tcW w:w="1424" w:type="dxa"/>
            <w:vAlign w:val="center"/>
          </w:tcPr>
          <w:p>
            <w:pPr>
              <w:spacing w:line="240" w:lineRule="auto"/>
              <w:ind w:firstLine="0" w:firstLineChars="0"/>
              <w:jc w:val="center"/>
              <w:rPr>
                <w:color w:val="auto"/>
                <w:sz w:val="24"/>
              </w:rPr>
            </w:pPr>
            <w:r>
              <w:rPr>
                <w:rFonts w:hint="eastAsia"/>
                <w:color w:val="auto"/>
                <w:sz w:val="24"/>
              </w:rPr>
              <w:t>128.09</w:t>
            </w:r>
          </w:p>
        </w:tc>
        <w:tc>
          <w:tcPr>
            <w:tcW w:w="1424" w:type="dxa"/>
            <w:vAlign w:val="center"/>
          </w:tcPr>
          <w:p>
            <w:pPr>
              <w:spacing w:line="240" w:lineRule="auto"/>
              <w:ind w:firstLine="0" w:firstLineChars="0"/>
              <w:jc w:val="center"/>
              <w:rPr>
                <w:color w:val="auto"/>
                <w:sz w:val="24"/>
              </w:rPr>
            </w:pPr>
            <w:r>
              <w:rPr>
                <w:rFonts w:hint="eastAsia"/>
                <w:color w:val="auto"/>
                <w:sz w:val="24"/>
              </w:rPr>
              <w:t>42.40</w:t>
            </w:r>
          </w:p>
        </w:tc>
        <w:tc>
          <w:tcPr>
            <w:tcW w:w="1425" w:type="dxa"/>
            <w:vAlign w:val="center"/>
          </w:tcPr>
          <w:p>
            <w:pPr>
              <w:spacing w:line="240" w:lineRule="auto"/>
              <w:ind w:firstLine="0" w:firstLineChars="0"/>
              <w:jc w:val="center"/>
              <w:rPr>
                <w:color w:val="auto"/>
                <w:sz w:val="24"/>
              </w:rPr>
            </w:pPr>
            <w:r>
              <w:rPr>
                <w:color w:val="auto"/>
                <w:sz w:val="24"/>
              </w:rPr>
              <w:t>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color w:val="auto"/>
                <w:sz w:val="24"/>
              </w:rPr>
              <w:t>7535.58</w:t>
            </w:r>
          </w:p>
        </w:tc>
        <w:tc>
          <w:tcPr>
            <w:tcW w:w="1424" w:type="dxa"/>
            <w:vAlign w:val="center"/>
          </w:tcPr>
          <w:p>
            <w:pPr>
              <w:spacing w:line="240" w:lineRule="auto"/>
              <w:ind w:firstLine="0" w:firstLineChars="0"/>
              <w:jc w:val="center"/>
              <w:rPr>
                <w:color w:val="auto"/>
                <w:sz w:val="24"/>
              </w:rPr>
            </w:pPr>
            <w:r>
              <w:rPr>
                <w:color w:val="auto"/>
                <w:sz w:val="24"/>
              </w:rPr>
              <w:t>6069.8</w:t>
            </w:r>
          </w:p>
        </w:tc>
        <w:tc>
          <w:tcPr>
            <w:tcW w:w="1424" w:type="dxa"/>
            <w:vAlign w:val="center"/>
          </w:tcPr>
          <w:p>
            <w:pPr>
              <w:spacing w:line="240" w:lineRule="auto"/>
              <w:ind w:firstLine="0" w:firstLineChars="0"/>
              <w:jc w:val="center"/>
              <w:rPr>
                <w:color w:val="auto"/>
                <w:sz w:val="24"/>
              </w:rPr>
            </w:pPr>
            <w:r>
              <w:rPr>
                <w:color w:val="auto"/>
                <w:sz w:val="24"/>
              </w:rPr>
              <w:t>6288.94</w:t>
            </w:r>
          </w:p>
        </w:tc>
        <w:tc>
          <w:tcPr>
            <w:tcW w:w="1425" w:type="dxa"/>
            <w:vAlign w:val="center"/>
          </w:tcPr>
          <w:p>
            <w:pPr>
              <w:spacing w:line="240" w:lineRule="auto"/>
              <w:ind w:firstLine="0" w:firstLineChars="0"/>
              <w:jc w:val="center"/>
              <w:rPr>
                <w:color w:val="auto"/>
                <w:sz w:val="24"/>
              </w:rPr>
            </w:pPr>
            <w:r>
              <w:rPr>
                <w:color w:val="auto"/>
                <w:sz w:val="24"/>
              </w:rPr>
              <w:t>7280.62</w:t>
            </w:r>
          </w:p>
        </w:tc>
      </w:tr>
    </w:tbl>
    <w:p>
      <w:pPr>
        <w:spacing w:line="240" w:lineRule="auto"/>
        <w:ind w:firstLine="0" w:firstLineChars="0"/>
        <w:rPr>
          <w:color w:val="auto"/>
          <w:sz w:val="21"/>
        </w:rPr>
      </w:pPr>
    </w:p>
    <w:p>
      <w:pPr>
        <w:pStyle w:val="4"/>
        <w:ind w:firstLine="602"/>
        <w:rPr>
          <w:color w:val="auto"/>
        </w:rPr>
      </w:pPr>
      <w:bookmarkStart w:id="53" w:name="_Toc40625188"/>
      <w:r>
        <w:rPr>
          <w:color w:val="auto"/>
        </w:rPr>
        <w:t>5</w:t>
      </w:r>
      <w:r>
        <w:rPr>
          <w:rFonts w:hint="eastAsia"/>
          <w:color w:val="auto"/>
        </w:rPr>
        <w:t>.5.5湖北奥瑞金饮料工业有限公司</w:t>
      </w:r>
      <w:bookmarkEnd w:id="53"/>
    </w:p>
    <w:p>
      <w:pPr>
        <w:ind w:firstLine="560"/>
        <w:rPr>
          <w:color w:val="auto"/>
        </w:rPr>
      </w:pPr>
      <w:r>
        <w:rPr>
          <w:rFonts w:hint="eastAsia"/>
          <w:color w:val="auto"/>
        </w:rPr>
        <w:t>湖北奥瑞金饮料工业有限公司是奥瑞金包装股份有限公司全资子公司。湖北奥瑞金饮料工业有限公司主要生产线均采用进口设备，生产工艺</w:t>
      </w:r>
      <w:r>
        <w:rPr>
          <w:color w:val="auto"/>
        </w:rPr>
        <w:t>达到</w:t>
      </w:r>
      <w:r>
        <w:rPr>
          <w:rFonts w:hint="eastAsia"/>
          <w:color w:val="auto"/>
        </w:rPr>
        <w:t>国际先进水平，该公司现建有三条饮料灌装生产线，年设计产能7.3亿罐瓶。一条纤体罐生产线，可生产250ml、190ml、150ml三种规格的铝制二片罐，生产速度达到1200罐/分钟，年产能达到10亿罐。可用于灌装植物蛋白、茶、咖啡饮料，以及含乳饮料、功能饮料、碳酸饮料、富含果法型碳酸饮料、谷物饮料等冷、热灌装类产品；两条铝瓶罐生线：一条用于生产250ml、200ml两种规格的，可再封旋口铝瓶罐，生产速度可达600瓶/分钟，年产能5亿瓶，适用于植物蛋白饮料、含乳饮料、茶饮料、咖啡饮料、功能饮料等热灌装类产品。另一条专门生产啤酒铝瓶罐，年产能5亿瓶。</w:t>
      </w:r>
    </w:p>
    <w:p>
      <w:pPr>
        <w:ind w:firstLine="560"/>
        <w:rPr>
          <w:color w:val="auto"/>
        </w:rPr>
      </w:pPr>
      <w:r>
        <w:rPr>
          <w:rFonts w:hint="eastAsia"/>
          <w:color w:val="auto"/>
        </w:rPr>
        <w:t>近年湖北奥瑞金饮料工业有限公司主要能源消耗情况如下表所示：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17</w:t>
      </w:r>
      <w:r>
        <w:rPr>
          <w:color w:val="auto"/>
        </w:rPr>
        <w:fldChar w:fldCharType="end"/>
      </w:r>
      <w:r>
        <w:rPr>
          <w:color w:val="auto"/>
        </w:rPr>
        <w:t xml:space="preserve"> </w:t>
      </w:r>
      <w:r>
        <w:rPr>
          <w:rFonts w:hint="eastAsia"/>
          <w:color w:val="auto"/>
        </w:rPr>
        <w:t>湖北奥瑞金饮料工业有限公司近年主要能源消耗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85</w:t>
            </w:r>
          </w:p>
        </w:tc>
        <w:tc>
          <w:tcPr>
            <w:tcW w:w="1424" w:type="dxa"/>
            <w:vAlign w:val="center"/>
          </w:tcPr>
          <w:p>
            <w:pPr>
              <w:spacing w:line="240" w:lineRule="auto"/>
              <w:ind w:firstLine="0" w:firstLineChars="0"/>
              <w:jc w:val="center"/>
              <w:rPr>
                <w:color w:val="auto"/>
                <w:sz w:val="24"/>
              </w:rPr>
            </w:pPr>
            <w:r>
              <w:rPr>
                <w:rFonts w:hint="eastAsia"/>
                <w:color w:val="auto"/>
                <w:sz w:val="24"/>
              </w:rPr>
              <w:t>243</w:t>
            </w:r>
          </w:p>
        </w:tc>
        <w:tc>
          <w:tcPr>
            <w:tcW w:w="1425" w:type="dxa"/>
            <w:vAlign w:val="center"/>
          </w:tcPr>
          <w:p>
            <w:pPr>
              <w:spacing w:line="240" w:lineRule="auto"/>
              <w:ind w:firstLine="0" w:firstLineChars="0"/>
              <w:jc w:val="center"/>
              <w:rPr>
                <w:color w:val="auto"/>
                <w:sz w:val="24"/>
              </w:rPr>
            </w:pPr>
            <w:r>
              <w:rPr>
                <w:color w:val="auto"/>
                <w:sz w:val="24"/>
              </w:rPr>
              <w:t>295.33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506</w:t>
            </w:r>
          </w:p>
        </w:tc>
        <w:tc>
          <w:tcPr>
            <w:tcW w:w="1424" w:type="dxa"/>
            <w:vAlign w:val="center"/>
          </w:tcPr>
          <w:p>
            <w:pPr>
              <w:spacing w:line="240" w:lineRule="auto"/>
              <w:ind w:firstLine="0" w:firstLineChars="0"/>
              <w:jc w:val="center"/>
              <w:rPr>
                <w:color w:val="auto"/>
                <w:sz w:val="24"/>
              </w:rPr>
            </w:pPr>
            <w:r>
              <w:rPr>
                <w:rFonts w:hint="eastAsia"/>
                <w:color w:val="auto"/>
                <w:sz w:val="24"/>
              </w:rPr>
              <w:t>521</w:t>
            </w:r>
          </w:p>
        </w:tc>
        <w:tc>
          <w:tcPr>
            <w:tcW w:w="1425" w:type="dxa"/>
            <w:vAlign w:val="center"/>
          </w:tcPr>
          <w:p>
            <w:pPr>
              <w:spacing w:line="240" w:lineRule="auto"/>
              <w:ind w:firstLine="0" w:firstLineChars="0"/>
              <w:jc w:val="center"/>
              <w:rPr>
                <w:color w:val="auto"/>
                <w:sz w:val="24"/>
              </w:rPr>
            </w:pPr>
            <w:r>
              <w:rPr>
                <w:color w:val="auto"/>
                <w:sz w:val="24"/>
              </w:rPr>
              <w:t>988.55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color w:val="auto"/>
                <w:sz w:val="24"/>
              </w:rPr>
              <w:t>1556.87</w:t>
            </w:r>
          </w:p>
        </w:tc>
        <w:tc>
          <w:tcPr>
            <w:tcW w:w="1424" w:type="dxa"/>
            <w:vAlign w:val="center"/>
          </w:tcPr>
          <w:p>
            <w:pPr>
              <w:spacing w:line="240" w:lineRule="auto"/>
              <w:ind w:firstLine="0" w:firstLineChars="0"/>
              <w:jc w:val="center"/>
              <w:rPr>
                <w:color w:val="auto"/>
                <w:sz w:val="24"/>
              </w:rPr>
            </w:pPr>
            <w:r>
              <w:rPr>
                <w:color w:val="auto"/>
                <w:sz w:val="24"/>
              </w:rPr>
              <w:t>3313.31</w:t>
            </w:r>
          </w:p>
        </w:tc>
        <w:tc>
          <w:tcPr>
            <w:tcW w:w="1425" w:type="dxa"/>
            <w:vAlign w:val="center"/>
          </w:tcPr>
          <w:p>
            <w:pPr>
              <w:spacing w:line="240" w:lineRule="auto"/>
              <w:ind w:firstLine="0" w:firstLineChars="0"/>
              <w:jc w:val="center"/>
              <w:rPr>
                <w:color w:val="auto"/>
                <w:sz w:val="24"/>
              </w:rPr>
            </w:pPr>
            <w:r>
              <w:rPr>
                <w:color w:val="auto"/>
                <w:sz w:val="24"/>
              </w:rPr>
              <w:t>4463.56</w:t>
            </w:r>
          </w:p>
        </w:tc>
      </w:tr>
    </w:tbl>
    <w:p>
      <w:pPr>
        <w:spacing w:line="240" w:lineRule="auto"/>
        <w:ind w:firstLine="0" w:firstLineChars="0"/>
        <w:rPr>
          <w:color w:val="auto"/>
          <w:sz w:val="18"/>
        </w:rPr>
      </w:pPr>
    </w:p>
    <w:p>
      <w:pPr>
        <w:pStyle w:val="4"/>
        <w:ind w:firstLine="602"/>
        <w:rPr>
          <w:color w:val="auto"/>
        </w:rPr>
      </w:pPr>
      <w:bookmarkStart w:id="54" w:name="_Toc40625189"/>
      <w:r>
        <w:rPr>
          <w:color w:val="auto"/>
        </w:rPr>
        <w:t>5</w:t>
      </w:r>
      <w:r>
        <w:rPr>
          <w:rFonts w:hint="eastAsia"/>
          <w:color w:val="auto"/>
        </w:rPr>
        <w:t>.5.</w:t>
      </w:r>
      <w:r>
        <w:rPr>
          <w:color w:val="auto"/>
        </w:rPr>
        <w:t>6</w:t>
      </w:r>
      <w:r>
        <w:rPr>
          <w:rFonts w:hint="eastAsia"/>
          <w:color w:val="auto"/>
        </w:rPr>
        <w:t>今麦郎饮品（咸宁）有限公司</w:t>
      </w:r>
      <w:bookmarkEnd w:id="54"/>
    </w:p>
    <w:p>
      <w:pPr>
        <w:ind w:firstLine="560"/>
        <w:rPr>
          <w:color w:val="auto"/>
        </w:rPr>
      </w:pPr>
      <w:r>
        <w:rPr>
          <w:rFonts w:hint="eastAsia"/>
          <w:color w:val="auto"/>
        </w:rPr>
        <w:t>今麦郎饮品（咸宁）有限公司是我国食品饮料行业龙头企业和国家级农业产业化龙头企业</w:t>
      </w:r>
      <w:r>
        <w:rPr>
          <w:color w:val="auto"/>
        </w:rPr>
        <w:t>——</w:t>
      </w:r>
      <w:r>
        <w:rPr>
          <w:rFonts w:hint="eastAsia"/>
          <w:color w:val="auto"/>
        </w:rPr>
        <w:t>今麦郎集团的全资分公司。今麦郎饮品已完成总投资3亿元人民币，占地300余亩，建筑面积40000平方米，现有员工260余人，其中45%的员工拥有大专以上学历。该公司主要致力于瓶装水、果汁饮料及茶饮料的生产、销售，从创业之初就定位以追求“高质量、高品位、高标准”为目标，采用产区原料加工，消费区灌装的科学生产布局，实现规模化经营，先后投巨资从德国、法国、意大利等国家引进饮料灌装生产线四条，同时配套饮料包装塑料容器生产线四条，可年产瓶装水及饮料50万吨。产品有瓶装水、茶饮料、果蔬饮料、轻口味特色饮料等四大系列，12个品种，生产规模、产品总销量、市场占有率连续3年位居华东地区前列。</w:t>
      </w:r>
    </w:p>
    <w:p>
      <w:pPr>
        <w:ind w:firstLine="560"/>
        <w:rPr>
          <w:color w:val="auto"/>
        </w:rPr>
      </w:pPr>
      <w:r>
        <w:rPr>
          <w:rFonts w:hint="eastAsia"/>
          <w:color w:val="auto"/>
        </w:rPr>
        <w:t>该公司主要设备引进法国SIDEL COMBI、德国KRONES三位一体全自动生产线，水处理采用美国海德能RO膜和超滤等先进工艺。其具有技术含量高，操作性能较好，自动化程度高，节能减排效果好的优点，能有效降低产品生产成本及能耗。</w:t>
      </w:r>
    </w:p>
    <w:p>
      <w:pPr>
        <w:ind w:firstLine="560"/>
        <w:rPr>
          <w:color w:val="auto"/>
        </w:rPr>
      </w:pPr>
      <w:r>
        <w:rPr>
          <w:rFonts w:hint="eastAsia"/>
          <w:color w:val="auto"/>
        </w:rPr>
        <w:t>近年今麦郎饮品（咸宁）有限公司主要能源消耗情况如下表所示：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18</w:t>
      </w:r>
      <w:r>
        <w:rPr>
          <w:color w:val="auto"/>
        </w:rPr>
        <w:fldChar w:fldCharType="end"/>
      </w:r>
      <w:r>
        <w:rPr>
          <w:color w:val="auto"/>
        </w:rPr>
        <w:t xml:space="preserve"> </w:t>
      </w:r>
      <w:r>
        <w:rPr>
          <w:rFonts w:hint="eastAsia"/>
          <w:color w:val="auto"/>
        </w:rPr>
        <w:t>今麦郎饮品（咸宁）有限公司近年主要能源消耗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5" w:type="dxa"/>
            <w:vAlign w:val="center"/>
          </w:tcPr>
          <w:p>
            <w:pPr>
              <w:spacing w:line="240" w:lineRule="auto"/>
              <w:ind w:firstLine="0" w:firstLineChars="0"/>
              <w:jc w:val="center"/>
              <w:rPr>
                <w:color w:val="auto"/>
                <w:sz w:val="24"/>
              </w:rPr>
            </w:pPr>
            <w:r>
              <w:rPr>
                <w:rFonts w:hint="eastAsia"/>
                <w:color w:val="auto"/>
                <w:sz w:val="24"/>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汽油（t）</w:t>
            </w:r>
          </w:p>
        </w:tc>
        <w:tc>
          <w:tcPr>
            <w:tcW w:w="1424" w:type="dxa"/>
            <w:vAlign w:val="center"/>
          </w:tcPr>
          <w:p>
            <w:pPr>
              <w:spacing w:line="240" w:lineRule="auto"/>
              <w:ind w:firstLine="0" w:firstLineChars="0"/>
              <w:jc w:val="center"/>
              <w:rPr>
                <w:color w:val="auto"/>
                <w:sz w:val="24"/>
              </w:rPr>
            </w:pPr>
            <w:r>
              <w:rPr>
                <w:rFonts w:hint="eastAsia"/>
                <w:color w:val="auto"/>
                <w:sz w:val="24"/>
              </w:rPr>
              <w:t>4.5</w:t>
            </w:r>
          </w:p>
        </w:tc>
        <w:tc>
          <w:tcPr>
            <w:tcW w:w="1424" w:type="dxa"/>
            <w:vAlign w:val="center"/>
          </w:tcPr>
          <w:p>
            <w:pPr>
              <w:spacing w:line="240" w:lineRule="auto"/>
              <w:ind w:firstLine="0" w:firstLineChars="0"/>
              <w:jc w:val="center"/>
              <w:rPr>
                <w:color w:val="auto"/>
                <w:sz w:val="24"/>
              </w:rPr>
            </w:pPr>
            <w:r>
              <w:rPr>
                <w:rFonts w:hint="eastAsia"/>
                <w:color w:val="auto"/>
                <w:sz w:val="24"/>
              </w:rPr>
              <w:t>13.5</w:t>
            </w:r>
          </w:p>
        </w:tc>
        <w:tc>
          <w:tcPr>
            <w:tcW w:w="1424" w:type="dxa"/>
            <w:vAlign w:val="center"/>
          </w:tcPr>
          <w:p>
            <w:pPr>
              <w:spacing w:line="240" w:lineRule="auto"/>
              <w:ind w:firstLine="0" w:firstLineChars="0"/>
              <w:jc w:val="center"/>
              <w:rPr>
                <w:color w:val="auto"/>
                <w:sz w:val="24"/>
              </w:rPr>
            </w:pPr>
            <w:r>
              <w:rPr>
                <w:rFonts w:hint="eastAsia"/>
                <w:color w:val="auto"/>
                <w:sz w:val="24"/>
              </w:rPr>
              <w:t>5.4</w:t>
            </w:r>
          </w:p>
        </w:tc>
        <w:tc>
          <w:tcPr>
            <w:tcW w:w="1425" w:type="dxa"/>
            <w:vAlign w:val="center"/>
          </w:tcPr>
          <w:p>
            <w:pPr>
              <w:spacing w:line="240" w:lineRule="auto"/>
              <w:ind w:firstLine="0" w:firstLineChars="0"/>
              <w:jc w:val="center"/>
              <w:rPr>
                <w:color w:val="auto"/>
                <w:sz w:val="24"/>
              </w:rPr>
            </w:pPr>
            <w:r>
              <w:rPr>
                <w:rFonts w:hint="eastAsia"/>
                <w:color w:val="auto"/>
                <w:sz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color w:val="auto"/>
                <w:sz w:val="24"/>
              </w:rPr>
              <w:t>964.79</w:t>
            </w:r>
          </w:p>
        </w:tc>
        <w:tc>
          <w:tcPr>
            <w:tcW w:w="1424" w:type="dxa"/>
            <w:vAlign w:val="center"/>
          </w:tcPr>
          <w:p>
            <w:pPr>
              <w:spacing w:line="240" w:lineRule="auto"/>
              <w:ind w:firstLine="0" w:firstLineChars="0"/>
              <w:jc w:val="center"/>
              <w:rPr>
                <w:color w:val="auto"/>
                <w:sz w:val="24"/>
              </w:rPr>
            </w:pPr>
            <w:r>
              <w:rPr>
                <w:rFonts w:hint="eastAsia"/>
                <w:color w:val="auto"/>
                <w:sz w:val="24"/>
              </w:rPr>
              <w:t>1211</w:t>
            </w:r>
          </w:p>
        </w:tc>
        <w:tc>
          <w:tcPr>
            <w:tcW w:w="1424" w:type="dxa"/>
            <w:vAlign w:val="center"/>
          </w:tcPr>
          <w:p>
            <w:pPr>
              <w:spacing w:line="240" w:lineRule="auto"/>
              <w:ind w:firstLine="0" w:firstLineChars="0"/>
              <w:jc w:val="center"/>
              <w:rPr>
                <w:color w:val="auto"/>
                <w:sz w:val="24"/>
              </w:rPr>
            </w:pPr>
            <w:r>
              <w:rPr>
                <w:rFonts w:hint="eastAsia"/>
                <w:color w:val="auto"/>
                <w:sz w:val="24"/>
              </w:rPr>
              <w:t>1751</w:t>
            </w:r>
          </w:p>
        </w:tc>
        <w:tc>
          <w:tcPr>
            <w:tcW w:w="1425" w:type="dxa"/>
            <w:vAlign w:val="center"/>
          </w:tcPr>
          <w:p>
            <w:pPr>
              <w:spacing w:line="240" w:lineRule="auto"/>
              <w:ind w:firstLine="0" w:firstLineChars="0"/>
              <w:jc w:val="center"/>
              <w:rPr>
                <w:color w:val="auto"/>
                <w:sz w:val="24"/>
              </w:rPr>
            </w:pPr>
            <w:r>
              <w:rPr>
                <w:color w:val="auto"/>
                <w:sz w:val="24"/>
              </w:rPr>
              <w:t>1747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vAlign w:val="center"/>
          </w:tcPr>
          <w:p>
            <w:pPr>
              <w:spacing w:line="240" w:lineRule="auto"/>
              <w:ind w:firstLine="0" w:firstLineChars="0"/>
              <w:jc w:val="center"/>
              <w:rPr>
                <w:color w:val="auto"/>
                <w:sz w:val="24"/>
              </w:rPr>
            </w:pPr>
            <w:r>
              <w:rPr>
                <w:color w:val="auto"/>
                <w:sz w:val="24"/>
              </w:rPr>
              <w:t>1192.35</w:t>
            </w:r>
          </w:p>
        </w:tc>
        <w:tc>
          <w:tcPr>
            <w:tcW w:w="1424" w:type="dxa"/>
            <w:vAlign w:val="center"/>
          </w:tcPr>
          <w:p>
            <w:pPr>
              <w:spacing w:line="240" w:lineRule="auto"/>
              <w:ind w:firstLine="0" w:firstLineChars="0"/>
              <w:jc w:val="center"/>
              <w:rPr>
                <w:color w:val="auto"/>
                <w:sz w:val="24"/>
              </w:rPr>
            </w:pPr>
            <w:r>
              <w:rPr>
                <w:color w:val="auto"/>
                <w:sz w:val="24"/>
              </w:rPr>
              <w:t>1508.18</w:t>
            </w:r>
          </w:p>
        </w:tc>
        <w:tc>
          <w:tcPr>
            <w:tcW w:w="1424" w:type="dxa"/>
            <w:vAlign w:val="center"/>
          </w:tcPr>
          <w:p>
            <w:pPr>
              <w:spacing w:line="240" w:lineRule="auto"/>
              <w:ind w:firstLine="0" w:firstLineChars="0"/>
              <w:jc w:val="center"/>
              <w:rPr>
                <w:color w:val="auto"/>
                <w:sz w:val="24"/>
              </w:rPr>
            </w:pPr>
            <w:r>
              <w:rPr>
                <w:color w:val="auto"/>
                <w:sz w:val="24"/>
              </w:rPr>
              <w:t>2159.92</w:t>
            </w:r>
          </w:p>
        </w:tc>
        <w:tc>
          <w:tcPr>
            <w:tcW w:w="1425" w:type="dxa"/>
            <w:vAlign w:val="center"/>
          </w:tcPr>
          <w:p>
            <w:pPr>
              <w:spacing w:line="240" w:lineRule="auto"/>
              <w:ind w:firstLine="0" w:firstLineChars="0"/>
              <w:jc w:val="center"/>
              <w:rPr>
                <w:color w:val="auto"/>
                <w:sz w:val="24"/>
              </w:rPr>
            </w:pPr>
            <w:r>
              <w:rPr>
                <w:color w:val="auto"/>
                <w:sz w:val="24"/>
              </w:rPr>
              <w:t>3222.6</w:t>
            </w:r>
          </w:p>
        </w:tc>
      </w:tr>
    </w:tbl>
    <w:p>
      <w:pPr>
        <w:spacing w:line="240" w:lineRule="auto"/>
        <w:ind w:firstLine="260"/>
        <w:rPr>
          <w:color w:val="auto"/>
          <w:sz w:val="13"/>
        </w:rPr>
      </w:pPr>
    </w:p>
    <w:p>
      <w:pPr>
        <w:pStyle w:val="4"/>
        <w:ind w:firstLine="602"/>
        <w:rPr>
          <w:color w:val="auto"/>
        </w:rPr>
      </w:pPr>
      <w:bookmarkStart w:id="55" w:name="_Toc40625190"/>
      <w:r>
        <w:rPr>
          <w:color w:val="auto"/>
        </w:rPr>
        <w:t>5</w:t>
      </w:r>
      <w:r>
        <w:rPr>
          <w:rFonts w:hint="eastAsia"/>
          <w:color w:val="auto"/>
        </w:rPr>
        <w:t>.5.</w:t>
      </w:r>
      <w:r>
        <w:rPr>
          <w:color w:val="auto"/>
        </w:rPr>
        <w:t>7</w:t>
      </w:r>
      <w:r>
        <w:rPr>
          <w:rFonts w:hint="eastAsia"/>
          <w:color w:val="auto"/>
        </w:rPr>
        <w:t>湖北恒丰纸业有限公司</w:t>
      </w:r>
      <w:bookmarkEnd w:id="55"/>
    </w:p>
    <w:p>
      <w:pPr>
        <w:ind w:firstLine="560"/>
        <w:rPr>
          <w:color w:val="auto"/>
        </w:rPr>
      </w:pPr>
      <w:r>
        <w:rPr>
          <w:rFonts w:hint="eastAsia"/>
          <w:color w:val="auto"/>
        </w:rPr>
        <w:t>湖北恒丰纸业有限责任公司成立于2005年，于2005年11月28日经咸宁市工商局核准，由牡丹江恒丰纸业股份有限公司、武汉烟草（公司）有限公司、湖北省咸宁市投资公司和湖北中烟工业公司共同出资成立的有限责任公司。公司经营范围为：卷烟纸的生产、销售，成型纸、铝箔衬纸、口花及其他纸的制造、分切加工、销售，造纸原辅料生产、销售及技术开发，造纸机械设备的加工、安装和维修等。</w:t>
      </w:r>
    </w:p>
    <w:p>
      <w:pPr>
        <w:ind w:firstLine="560"/>
        <w:rPr>
          <w:color w:val="auto"/>
        </w:rPr>
      </w:pPr>
      <w:r>
        <w:rPr>
          <w:rFonts w:hint="eastAsia"/>
          <w:color w:val="auto"/>
        </w:rPr>
        <w:t>恒丰纸业现拥有2160及1880纸机，主要生产和销售铝箔衬纸。年产能约为10000吨。公司在生产过程中主要的能源消耗是电力和天然气，电力为生产设备，锅炉设备，生产照明等耗用；天然气为天然气锅炉耗用。电力年消费量约1000万kW</w:t>
      </w:r>
      <w:r>
        <w:rPr>
          <w:color w:val="auto"/>
        </w:rPr>
        <w:t>·</w:t>
      </w:r>
      <w:r>
        <w:rPr>
          <w:rFonts w:hint="eastAsia"/>
          <w:color w:val="auto"/>
        </w:rPr>
        <w:t>h，天然气年消费量约250万m</w:t>
      </w:r>
      <w:r>
        <w:rPr>
          <w:color w:val="auto"/>
          <w:vertAlign w:val="superscript"/>
        </w:rPr>
        <w:t>3</w:t>
      </w:r>
      <w:r>
        <w:rPr>
          <w:rFonts w:hint="eastAsia"/>
          <w:color w:val="auto"/>
        </w:rPr>
        <w:t>，其中天然气为近年</w:t>
      </w:r>
      <w:r>
        <w:rPr>
          <w:color w:val="auto"/>
        </w:rPr>
        <w:t>才使用</w:t>
      </w:r>
      <w:r>
        <w:rPr>
          <w:rFonts w:hint="eastAsia"/>
          <w:color w:val="auto"/>
        </w:rPr>
        <w:t>，公司原有一台燃烧生物质燃料的锅炉，为响应国家对环境保护方面的要求，2018年8年淘汰了生物质锅炉，启用了天然气锅炉。</w:t>
      </w:r>
    </w:p>
    <w:p>
      <w:pPr>
        <w:ind w:firstLine="560"/>
        <w:rPr>
          <w:color w:val="auto"/>
        </w:rPr>
      </w:pPr>
      <w:r>
        <w:rPr>
          <w:rFonts w:hint="eastAsia"/>
          <w:color w:val="auto"/>
        </w:rPr>
        <w:t>由于工艺技术要求，该公司2019年单位铝箔衬纸产品能耗为467kgce</w:t>
      </w:r>
      <w:r>
        <w:rPr>
          <w:color w:val="auto"/>
        </w:rPr>
        <w:t>/t</w:t>
      </w:r>
      <w:r>
        <w:rPr>
          <w:rFonts w:hint="eastAsia"/>
          <w:color w:val="auto"/>
        </w:rPr>
        <w:t>，高于常规纸品，暂无能耗</w:t>
      </w:r>
      <w:r>
        <w:rPr>
          <w:color w:val="auto"/>
        </w:rPr>
        <w:t>限额标准</w:t>
      </w:r>
      <w:r>
        <w:rPr>
          <w:rFonts w:hint="eastAsia"/>
          <w:color w:val="auto"/>
        </w:rPr>
        <w:t>。</w:t>
      </w:r>
    </w:p>
    <w:p>
      <w:pPr>
        <w:ind w:firstLine="560"/>
        <w:rPr>
          <w:color w:val="auto"/>
        </w:rPr>
      </w:pPr>
      <w:r>
        <w:rPr>
          <w:rFonts w:hint="eastAsia"/>
          <w:color w:val="auto"/>
        </w:rPr>
        <w:t>近年湖北恒丰纸业有限公司主要能源消耗情况如下表所示：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19</w:t>
      </w:r>
      <w:r>
        <w:rPr>
          <w:color w:val="auto"/>
        </w:rPr>
        <w:fldChar w:fldCharType="end"/>
      </w:r>
      <w:r>
        <w:rPr>
          <w:color w:val="auto"/>
        </w:rPr>
        <w:t xml:space="preserve"> </w:t>
      </w:r>
      <w:r>
        <w:rPr>
          <w:rFonts w:hint="eastAsia"/>
          <w:color w:val="auto"/>
        </w:rPr>
        <w:t>湖北恒丰纸业有限公司近年主要能源消耗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天然气（万m</w:t>
            </w:r>
            <w:r>
              <w:rPr>
                <w:color w:val="auto"/>
                <w:sz w:val="24"/>
                <w:vertAlign w:val="superscript"/>
              </w:rPr>
              <w:t>3</w:t>
            </w: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rFonts w:hint="eastAsia"/>
                <w:color w:val="auto"/>
                <w:sz w:val="24"/>
              </w:rPr>
              <w:t>\</w:t>
            </w:r>
          </w:p>
        </w:tc>
        <w:tc>
          <w:tcPr>
            <w:tcW w:w="1424" w:type="dxa"/>
            <w:vAlign w:val="center"/>
          </w:tcPr>
          <w:p>
            <w:pPr>
              <w:spacing w:line="240" w:lineRule="auto"/>
              <w:ind w:firstLine="0" w:firstLineChars="0"/>
              <w:jc w:val="center"/>
              <w:rPr>
                <w:color w:val="auto"/>
                <w:sz w:val="24"/>
              </w:rPr>
            </w:pPr>
            <w:r>
              <w:rPr>
                <w:color w:val="auto"/>
                <w:sz w:val="24"/>
              </w:rPr>
              <w:t>114.9</w:t>
            </w:r>
          </w:p>
        </w:tc>
        <w:tc>
          <w:tcPr>
            <w:tcW w:w="1425" w:type="dxa"/>
            <w:vAlign w:val="center"/>
          </w:tcPr>
          <w:p>
            <w:pPr>
              <w:spacing w:line="240" w:lineRule="auto"/>
              <w:ind w:firstLine="0" w:firstLineChars="0"/>
              <w:jc w:val="center"/>
              <w:rPr>
                <w:color w:val="auto"/>
                <w:sz w:val="24"/>
              </w:rPr>
            </w:pPr>
            <w:r>
              <w:rPr>
                <w:color w:val="auto"/>
                <w:sz w:val="24"/>
              </w:rPr>
              <w:t>250.92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820</w:t>
            </w:r>
          </w:p>
        </w:tc>
        <w:tc>
          <w:tcPr>
            <w:tcW w:w="1424" w:type="dxa"/>
            <w:vAlign w:val="center"/>
          </w:tcPr>
          <w:p>
            <w:pPr>
              <w:spacing w:line="240" w:lineRule="auto"/>
              <w:ind w:firstLine="0" w:firstLineChars="0"/>
              <w:jc w:val="center"/>
              <w:rPr>
                <w:color w:val="auto"/>
                <w:sz w:val="24"/>
              </w:rPr>
            </w:pPr>
            <w:r>
              <w:rPr>
                <w:rFonts w:hint="eastAsia"/>
                <w:color w:val="auto"/>
                <w:sz w:val="24"/>
              </w:rPr>
              <w:t>1004</w:t>
            </w:r>
          </w:p>
        </w:tc>
        <w:tc>
          <w:tcPr>
            <w:tcW w:w="1424" w:type="dxa"/>
            <w:vAlign w:val="center"/>
          </w:tcPr>
          <w:p>
            <w:pPr>
              <w:spacing w:line="240" w:lineRule="auto"/>
              <w:ind w:firstLine="0" w:firstLineChars="0"/>
              <w:jc w:val="center"/>
              <w:rPr>
                <w:color w:val="auto"/>
                <w:sz w:val="24"/>
              </w:rPr>
            </w:pPr>
            <w:r>
              <w:rPr>
                <w:rFonts w:hint="eastAsia"/>
                <w:color w:val="auto"/>
                <w:sz w:val="24"/>
              </w:rPr>
              <w:t>10</w:t>
            </w:r>
            <w:r>
              <w:rPr>
                <w:color w:val="auto"/>
                <w:sz w:val="24"/>
              </w:rPr>
              <w:t>33</w:t>
            </w:r>
          </w:p>
        </w:tc>
        <w:tc>
          <w:tcPr>
            <w:tcW w:w="1425" w:type="dxa"/>
            <w:vAlign w:val="center"/>
          </w:tcPr>
          <w:p>
            <w:pPr>
              <w:spacing w:line="240" w:lineRule="auto"/>
              <w:ind w:firstLine="0" w:firstLineChars="0"/>
              <w:jc w:val="center"/>
              <w:rPr>
                <w:color w:val="auto"/>
                <w:sz w:val="24"/>
              </w:rPr>
            </w:pPr>
            <w:r>
              <w:rPr>
                <w:rFonts w:hint="eastAsia"/>
                <w:color w:val="auto"/>
                <w:sz w:val="24"/>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生物质燃料</w:t>
            </w:r>
          </w:p>
        </w:tc>
        <w:tc>
          <w:tcPr>
            <w:tcW w:w="1424"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7791.6</w:t>
            </w:r>
          </w:p>
        </w:tc>
        <w:tc>
          <w:tcPr>
            <w:tcW w:w="1424"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922</w:t>
            </w:r>
            <w:r>
              <w:rPr>
                <w:color w:val="auto"/>
                <w:sz w:val="24"/>
              </w:rPr>
              <w:t>2</w:t>
            </w:r>
            <w:r>
              <w:rPr>
                <w:rFonts w:hint="eastAsia"/>
                <w:color w:val="auto"/>
                <w:sz w:val="24"/>
              </w:rPr>
              <w:t>.6</w:t>
            </w:r>
          </w:p>
        </w:tc>
        <w:tc>
          <w:tcPr>
            <w:tcW w:w="1424"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5467.5</w:t>
            </w:r>
          </w:p>
        </w:tc>
        <w:tc>
          <w:tcPr>
            <w:tcW w:w="1425" w:type="dxa"/>
            <w:tcBorders>
              <w:bottom w:val="single" w:color="auto" w:sz="4" w:space="0"/>
            </w:tcBorders>
            <w:vAlign w:val="center"/>
          </w:tcPr>
          <w:p>
            <w:pPr>
              <w:spacing w:line="240" w:lineRule="auto"/>
              <w:ind w:firstLine="0" w:firstLineChars="0"/>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8799.38</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5449.66</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5163.98</w:t>
            </w:r>
          </w:p>
        </w:tc>
        <w:tc>
          <w:tcPr>
            <w:tcW w:w="1425" w:type="dxa"/>
            <w:tcBorders>
              <w:bottom w:val="single" w:color="auto" w:sz="4" w:space="0"/>
            </w:tcBorders>
            <w:vAlign w:val="center"/>
          </w:tcPr>
          <w:p>
            <w:pPr>
              <w:spacing w:line="240" w:lineRule="auto"/>
              <w:ind w:firstLine="0" w:firstLineChars="0"/>
              <w:jc w:val="center"/>
              <w:rPr>
                <w:color w:val="auto"/>
                <w:sz w:val="24"/>
              </w:rPr>
            </w:pPr>
            <w:r>
              <w:rPr>
                <w:color w:val="auto"/>
                <w:sz w:val="24"/>
              </w:rPr>
              <w:t>4204.64</w:t>
            </w:r>
          </w:p>
        </w:tc>
      </w:tr>
    </w:tbl>
    <w:p>
      <w:pPr>
        <w:spacing w:line="240" w:lineRule="auto"/>
        <w:ind w:firstLine="0" w:firstLineChars="0"/>
        <w:rPr>
          <w:color w:val="auto"/>
          <w:sz w:val="24"/>
        </w:rPr>
      </w:pPr>
    </w:p>
    <w:p>
      <w:pPr>
        <w:pStyle w:val="4"/>
        <w:ind w:firstLine="602"/>
        <w:rPr>
          <w:color w:val="auto"/>
        </w:rPr>
      </w:pPr>
      <w:bookmarkStart w:id="56" w:name="_Toc40625191"/>
      <w:r>
        <w:rPr>
          <w:color w:val="auto"/>
        </w:rPr>
        <w:t>5</w:t>
      </w:r>
      <w:r>
        <w:rPr>
          <w:rFonts w:hint="eastAsia"/>
          <w:color w:val="auto"/>
        </w:rPr>
        <w:t>.5.8湖北天化麻业股份有限公司</w:t>
      </w:r>
      <w:bookmarkEnd w:id="56"/>
    </w:p>
    <w:p>
      <w:pPr>
        <w:ind w:firstLine="560"/>
        <w:rPr>
          <w:color w:val="auto"/>
        </w:rPr>
      </w:pPr>
      <w:r>
        <w:rPr>
          <w:rFonts w:hint="eastAsia"/>
          <w:color w:val="auto"/>
        </w:rPr>
        <w:t>湖北天化麻业股份有限公司是从苎麻脱胶到纱线生产的苎麻纺织企业，主要产品为苎麻棉混纺本色纱线。公司总资产43705万元，占地面积504亩，拥有长麻纺、短麻纺16万锭的生产规模，居全国同行业三强。</w:t>
      </w:r>
    </w:p>
    <w:p>
      <w:pPr>
        <w:ind w:firstLine="560"/>
        <w:rPr>
          <w:color w:val="auto"/>
        </w:rPr>
      </w:pPr>
      <w:r>
        <w:rPr>
          <w:rFonts w:hint="eastAsia"/>
          <w:color w:val="auto"/>
        </w:rPr>
        <w:t>该公司生产设备全部选用国内外最先进的生产装备，并条机选用瑞士立达RSR-D401C型，络筒机选用德国赐来福公司AC338D型。公司拥有先进的技术工艺水平和强大的技术创新能力。公司建有集科研、实验、检测为一体的省级技术中心，并取得了一项“湖北省重大科技成果”，一项中国纺织工作协会“纺织之光”2010科技成果二等奖，四项发明专利、十二项实用新型专利。</w:t>
      </w:r>
    </w:p>
    <w:p>
      <w:pPr>
        <w:ind w:firstLine="560"/>
        <w:rPr>
          <w:color w:val="auto"/>
        </w:rPr>
      </w:pPr>
      <w:r>
        <w:rPr>
          <w:rFonts w:hint="eastAsia"/>
          <w:color w:val="auto"/>
        </w:rPr>
        <w:t>2019年，该</w:t>
      </w:r>
      <w:r>
        <w:rPr>
          <w:color w:val="auto"/>
        </w:rPr>
        <w:t>公司</w:t>
      </w:r>
      <w:r>
        <w:rPr>
          <w:rFonts w:hint="eastAsia"/>
          <w:color w:val="auto"/>
        </w:rPr>
        <w:t>生产各种纱线8000吨，</w:t>
      </w:r>
      <w:r>
        <w:rPr>
          <w:color w:val="auto"/>
        </w:rPr>
        <w:t>吨产品能耗为</w:t>
      </w:r>
      <w:r>
        <w:rPr>
          <w:rFonts w:hint="eastAsia"/>
          <w:color w:val="auto"/>
        </w:rPr>
        <w:t>0.44</w:t>
      </w:r>
      <w:r>
        <w:rPr>
          <w:color w:val="auto"/>
        </w:rPr>
        <w:t>kgce/t</w:t>
      </w:r>
      <w:r>
        <w:rPr>
          <w:rFonts w:hint="eastAsia"/>
          <w:color w:val="auto"/>
        </w:rPr>
        <w:t>，由于</w:t>
      </w:r>
      <w:r>
        <w:rPr>
          <w:color w:val="auto"/>
        </w:rPr>
        <w:t>主要产品为</w:t>
      </w:r>
      <w:r>
        <w:rPr>
          <w:rFonts w:hint="eastAsia"/>
          <w:color w:val="auto"/>
        </w:rPr>
        <w:t>苎麻棉混纺纱线，</w:t>
      </w:r>
      <w:r>
        <w:rPr>
          <w:color w:val="auto"/>
        </w:rPr>
        <w:t>暂</w:t>
      </w:r>
      <w:r>
        <w:rPr>
          <w:rFonts w:hint="eastAsia"/>
          <w:color w:val="auto"/>
        </w:rPr>
        <w:t>无对应能耗</w:t>
      </w:r>
      <w:r>
        <w:rPr>
          <w:color w:val="auto"/>
        </w:rPr>
        <w:t>限额标准。</w:t>
      </w:r>
    </w:p>
    <w:p>
      <w:pPr>
        <w:ind w:firstLine="560"/>
        <w:rPr>
          <w:color w:val="auto"/>
        </w:rPr>
      </w:pPr>
      <w:r>
        <w:rPr>
          <w:rFonts w:hint="eastAsia"/>
          <w:color w:val="auto"/>
        </w:rPr>
        <w:t>近年湖北天化麻业股份有限公司主要能源消耗情况如下表所示：</w:t>
      </w:r>
    </w:p>
    <w:p>
      <w:pPr>
        <w:pStyle w:val="9"/>
        <w:keepNext/>
        <w:ind w:firstLine="560"/>
        <w:rPr>
          <w:color w:val="auto"/>
        </w:rPr>
      </w:pPr>
      <w:r>
        <w:rPr>
          <w:rFonts w:hint="eastAsia"/>
          <w:color w:val="auto"/>
        </w:rPr>
        <w:t xml:space="preserve">表5- </w:t>
      </w:r>
      <w:r>
        <w:rPr>
          <w:color w:val="auto"/>
        </w:rPr>
        <w:fldChar w:fldCharType="begin"/>
      </w:r>
      <w:r>
        <w:rPr>
          <w:color w:val="auto"/>
        </w:rPr>
        <w:instrText xml:space="preserve"> </w:instrText>
      </w:r>
      <w:r>
        <w:rPr>
          <w:rFonts w:hint="eastAsia"/>
          <w:color w:val="auto"/>
        </w:rPr>
        <w:instrText xml:space="preserve">SEQ 表5- \* ARABIC</w:instrText>
      </w:r>
      <w:r>
        <w:rPr>
          <w:color w:val="auto"/>
        </w:rPr>
        <w:instrText xml:space="preserve"> </w:instrText>
      </w:r>
      <w:r>
        <w:rPr>
          <w:color w:val="auto"/>
        </w:rPr>
        <w:fldChar w:fldCharType="separate"/>
      </w:r>
      <w:r>
        <w:rPr>
          <w:color w:val="auto"/>
        </w:rPr>
        <w:t>20</w:t>
      </w:r>
      <w:r>
        <w:rPr>
          <w:color w:val="auto"/>
        </w:rPr>
        <w:fldChar w:fldCharType="end"/>
      </w:r>
      <w:r>
        <w:rPr>
          <w:color w:val="auto"/>
        </w:rPr>
        <w:t xml:space="preserve"> </w:t>
      </w:r>
      <w:r>
        <w:rPr>
          <w:rFonts w:hint="eastAsia"/>
          <w:color w:val="auto"/>
        </w:rPr>
        <w:t>湖北天化麻业股份有限公司近年主要能源消耗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779"/>
        <w:gridCol w:w="1424"/>
        <w:gridCol w:w="1424"/>
        <w:gridCol w:w="142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tl2br w:val="single" w:color="auto" w:sz="4" w:space="0"/>
            </w:tcBorders>
            <w:vAlign w:val="center"/>
          </w:tcPr>
          <w:p>
            <w:pPr>
              <w:spacing w:line="240" w:lineRule="auto"/>
              <w:ind w:firstLine="0" w:firstLineChars="0"/>
              <w:jc w:val="right"/>
              <w:rPr>
                <w:b/>
                <w:color w:val="auto"/>
                <w:sz w:val="24"/>
              </w:rPr>
            </w:pPr>
            <w:r>
              <w:rPr>
                <w:rFonts w:hint="eastAsia"/>
                <w:b/>
                <w:color w:val="auto"/>
                <w:sz w:val="24"/>
              </w:rPr>
              <w:t>年度</w:t>
            </w:r>
          </w:p>
          <w:p>
            <w:pPr>
              <w:spacing w:line="240" w:lineRule="auto"/>
              <w:ind w:firstLine="0" w:firstLineChars="0"/>
              <w:jc w:val="left"/>
              <w:rPr>
                <w:b/>
                <w:color w:val="auto"/>
                <w:sz w:val="24"/>
              </w:rPr>
            </w:pPr>
            <w:r>
              <w:rPr>
                <w:rFonts w:hint="eastAsia"/>
                <w:b/>
                <w:color w:val="auto"/>
                <w:sz w:val="24"/>
              </w:rPr>
              <w:t>能源</w:t>
            </w:r>
          </w:p>
        </w:tc>
        <w:tc>
          <w:tcPr>
            <w:tcW w:w="1424" w:type="dxa"/>
            <w:vAlign w:val="center"/>
          </w:tcPr>
          <w:p>
            <w:pPr>
              <w:spacing w:line="240" w:lineRule="auto"/>
              <w:ind w:firstLine="0" w:firstLineChars="0"/>
              <w:jc w:val="center"/>
              <w:rPr>
                <w:b/>
                <w:color w:val="auto"/>
                <w:sz w:val="24"/>
              </w:rPr>
            </w:pPr>
            <w:r>
              <w:rPr>
                <w:rFonts w:hint="eastAsia"/>
                <w:b/>
                <w:color w:val="auto"/>
                <w:sz w:val="24"/>
              </w:rPr>
              <w:t>2016</w:t>
            </w:r>
          </w:p>
        </w:tc>
        <w:tc>
          <w:tcPr>
            <w:tcW w:w="1424" w:type="dxa"/>
            <w:vAlign w:val="center"/>
          </w:tcPr>
          <w:p>
            <w:pPr>
              <w:spacing w:line="240" w:lineRule="auto"/>
              <w:ind w:firstLine="0" w:firstLineChars="0"/>
              <w:jc w:val="center"/>
              <w:rPr>
                <w:b/>
                <w:color w:val="auto"/>
                <w:sz w:val="24"/>
              </w:rPr>
            </w:pPr>
            <w:r>
              <w:rPr>
                <w:rFonts w:hint="eastAsia"/>
                <w:b/>
                <w:color w:val="auto"/>
                <w:sz w:val="24"/>
              </w:rPr>
              <w:t>2017</w:t>
            </w:r>
          </w:p>
        </w:tc>
        <w:tc>
          <w:tcPr>
            <w:tcW w:w="1424" w:type="dxa"/>
            <w:vAlign w:val="center"/>
          </w:tcPr>
          <w:p>
            <w:pPr>
              <w:spacing w:line="240" w:lineRule="auto"/>
              <w:ind w:firstLine="0" w:firstLineChars="0"/>
              <w:jc w:val="center"/>
              <w:rPr>
                <w:b/>
                <w:color w:val="auto"/>
                <w:sz w:val="24"/>
              </w:rPr>
            </w:pPr>
            <w:r>
              <w:rPr>
                <w:rFonts w:hint="eastAsia"/>
                <w:b/>
                <w:color w:val="auto"/>
                <w:sz w:val="24"/>
              </w:rPr>
              <w:t>2018</w:t>
            </w:r>
          </w:p>
        </w:tc>
        <w:tc>
          <w:tcPr>
            <w:tcW w:w="1425" w:type="dxa"/>
            <w:vAlign w:val="center"/>
          </w:tcPr>
          <w:p>
            <w:pPr>
              <w:spacing w:line="240" w:lineRule="auto"/>
              <w:ind w:firstLine="0" w:firstLineChars="0"/>
              <w:jc w:val="center"/>
              <w:rPr>
                <w:b/>
                <w:color w:val="auto"/>
                <w:sz w:val="24"/>
              </w:rPr>
            </w:pPr>
            <w:r>
              <w:rPr>
                <w:rFonts w:hint="eastAsia"/>
                <w:b/>
                <w:color w:val="auto"/>
                <w:sz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vAlign w:val="center"/>
          </w:tcPr>
          <w:p>
            <w:pPr>
              <w:spacing w:line="240" w:lineRule="auto"/>
              <w:ind w:firstLine="0" w:firstLineChars="0"/>
              <w:jc w:val="center"/>
              <w:rPr>
                <w:color w:val="auto"/>
                <w:sz w:val="24"/>
              </w:rPr>
            </w:pPr>
            <w:r>
              <w:rPr>
                <w:rFonts w:hint="eastAsia"/>
                <w:color w:val="auto"/>
                <w:sz w:val="24"/>
              </w:rPr>
              <w:t>电力（万kW</w:t>
            </w:r>
            <w:r>
              <w:rPr>
                <w:color w:val="auto"/>
                <w:sz w:val="24"/>
              </w:rPr>
              <w:t>·</w:t>
            </w:r>
            <w:r>
              <w:rPr>
                <w:rFonts w:hint="eastAsia"/>
                <w:color w:val="auto"/>
                <w:sz w:val="24"/>
              </w:rPr>
              <w:t>h）</w:t>
            </w:r>
          </w:p>
        </w:tc>
        <w:tc>
          <w:tcPr>
            <w:tcW w:w="1424" w:type="dxa"/>
            <w:vAlign w:val="center"/>
          </w:tcPr>
          <w:p>
            <w:pPr>
              <w:spacing w:line="240" w:lineRule="auto"/>
              <w:ind w:firstLine="0" w:firstLineChars="0"/>
              <w:jc w:val="center"/>
              <w:rPr>
                <w:color w:val="auto"/>
                <w:sz w:val="24"/>
              </w:rPr>
            </w:pPr>
            <w:r>
              <w:rPr>
                <w:rFonts w:hint="eastAsia"/>
                <w:color w:val="auto"/>
                <w:sz w:val="24"/>
              </w:rPr>
              <w:t>2548</w:t>
            </w:r>
          </w:p>
        </w:tc>
        <w:tc>
          <w:tcPr>
            <w:tcW w:w="1424" w:type="dxa"/>
            <w:vAlign w:val="center"/>
          </w:tcPr>
          <w:p>
            <w:pPr>
              <w:spacing w:line="240" w:lineRule="auto"/>
              <w:ind w:firstLine="0" w:firstLineChars="0"/>
              <w:jc w:val="center"/>
              <w:rPr>
                <w:color w:val="auto"/>
                <w:sz w:val="24"/>
              </w:rPr>
            </w:pPr>
            <w:r>
              <w:rPr>
                <w:rFonts w:hint="eastAsia"/>
                <w:color w:val="auto"/>
                <w:sz w:val="24"/>
              </w:rPr>
              <w:t>2515</w:t>
            </w:r>
          </w:p>
        </w:tc>
        <w:tc>
          <w:tcPr>
            <w:tcW w:w="1424" w:type="dxa"/>
            <w:vAlign w:val="center"/>
          </w:tcPr>
          <w:p>
            <w:pPr>
              <w:spacing w:line="240" w:lineRule="auto"/>
              <w:ind w:firstLine="0" w:firstLineChars="0"/>
              <w:jc w:val="center"/>
              <w:rPr>
                <w:color w:val="auto"/>
                <w:sz w:val="24"/>
              </w:rPr>
            </w:pPr>
            <w:r>
              <w:rPr>
                <w:color w:val="auto"/>
                <w:sz w:val="24"/>
              </w:rPr>
              <w:t>2725</w:t>
            </w:r>
          </w:p>
        </w:tc>
        <w:tc>
          <w:tcPr>
            <w:tcW w:w="1425" w:type="dxa"/>
            <w:vAlign w:val="center"/>
          </w:tcPr>
          <w:p>
            <w:pPr>
              <w:spacing w:line="240" w:lineRule="auto"/>
              <w:ind w:firstLine="0" w:firstLineChars="0"/>
              <w:jc w:val="center"/>
              <w:rPr>
                <w:color w:val="auto"/>
                <w:sz w:val="24"/>
              </w:rPr>
            </w:pPr>
            <w:r>
              <w:rPr>
                <w:color w:val="auto"/>
                <w:sz w:val="24"/>
              </w:rPr>
              <w:t>2895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trPr>
        <w:tc>
          <w:tcPr>
            <w:tcW w:w="2779" w:type="dxa"/>
            <w:tcBorders>
              <w:bottom w:val="single" w:color="auto" w:sz="4" w:space="0"/>
            </w:tcBorders>
            <w:vAlign w:val="center"/>
          </w:tcPr>
          <w:p>
            <w:pPr>
              <w:spacing w:line="240" w:lineRule="auto"/>
              <w:ind w:firstLine="0" w:firstLineChars="0"/>
              <w:jc w:val="center"/>
              <w:rPr>
                <w:color w:val="auto"/>
                <w:sz w:val="24"/>
              </w:rPr>
            </w:pPr>
            <w:r>
              <w:rPr>
                <w:rFonts w:hint="eastAsia"/>
                <w:color w:val="auto"/>
                <w:sz w:val="24"/>
              </w:rPr>
              <w:t>综合能源消费量;（tce）</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3078.65</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3047.92</w:t>
            </w:r>
          </w:p>
        </w:tc>
        <w:tc>
          <w:tcPr>
            <w:tcW w:w="1424" w:type="dxa"/>
            <w:tcBorders>
              <w:bottom w:val="single" w:color="auto" w:sz="4" w:space="0"/>
            </w:tcBorders>
            <w:vAlign w:val="center"/>
          </w:tcPr>
          <w:p>
            <w:pPr>
              <w:spacing w:line="240" w:lineRule="auto"/>
              <w:ind w:firstLine="0" w:firstLineChars="0"/>
              <w:jc w:val="center"/>
              <w:rPr>
                <w:color w:val="auto"/>
                <w:sz w:val="24"/>
              </w:rPr>
            </w:pPr>
            <w:r>
              <w:rPr>
                <w:color w:val="auto"/>
                <w:sz w:val="24"/>
              </w:rPr>
              <w:t>3291.26</w:t>
            </w:r>
          </w:p>
        </w:tc>
        <w:tc>
          <w:tcPr>
            <w:tcW w:w="1425" w:type="dxa"/>
            <w:tcBorders>
              <w:bottom w:val="single" w:color="auto" w:sz="4" w:space="0"/>
            </w:tcBorders>
            <w:vAlign w:val="center"/>
          </w:tcPr>
          <w:p>
            <w:pPr>
              <w:spacing w:line="240" w:lineRule="auto"/>
              <w:ind w:firstLine="0" w:firstLineChars="0"/>
              <w:jc w:val="center"/>
              <w:rPr>
                <w:color w:val="auto"/>
                <w:sz w:val="24"/>
              </w:rPr>
            </w:pPr>
            <w:r>
              <w:rPr>
                <w:color w:val="auto"/>
                <w:sz w:val="24"/>
              </w:rPr>
              <w:t>3497.73</w:t>
            </w:r>
          </w:p>
        </w:tc>
      </w:tr>
    </w:tbl>
    <w:p>
      <w:pPr>
        <w:spacing w:line="240" w:lineRule="auto"/>
        <w:ind w:firstLine="0" w:firstLineChars="0"/>
        <w:rPr>
          <w:color w:val="auto"/>
          <w:sz w:val="24"/>
        </w:rPr>
      </w:pPr>
    </w:p>
    <w:p>
      <w:pPr>
        <w:ind w:firstLine="0" w:firstLineChars="0"/>
        <w:rPr>
          <w:color w:val="auto"/>
        </w:rPr>
      </w:pPr>
    </w:p>
    <w:p>
      <w:pPr>
        <w:ind w:firstLine="0" w:firstLineChars="0"/>
        <w:rPr>
          <w:color w:val="auto"/>
        </w:rPr>
        <w:sectPr>
          <w:pgSz w:w="11906" w:h="16838"/>
          <w:pgMar w:top="1440" w:right="1800" w:bottom="1440" w:left="1800" w:header="850" w:footer="992" w:gutter="0"/>
          <w:cols w:space="425" w:num="1"/>
          <w:docGrid w:type="lines" w:linePitch="381" w:charSpace="0"/>
        </w:sectPr>
      </w:pPr>
    </w:p>
    <w:p>
      <w:pPr>
        <w:pStyle w:val="2"/>
        <w:rPr>
          <w:color w:val="auto"/>
        </w:rPr>
      </w:pPr>
      <w:bookmarkStart w:id="57" w:name="_Toc40625192"/>
      <w:r>
        <w:rPr>
          <w:rFonts w:hint="eastAsia"/>
          <w:color w:val="auto"/>
        </w:rPr>
        <w:t>区域</w:t>
      </w:r>
      <w:r>
        <w:rPr>
          <w:color w:val="auto"/>
        </w:rPr>
        <w:t>行业类别界定及负面清单</w:t>
      </w:r>
      <w:bookmarkEnd w:id="57"/>
    </w:p>
    <w:p>
      <w:pPr>
        <w:pStyle w:val="3"/>
        <w:ind w:firstLine="643"/>
        <w:rPr>
          <w:color w:val="auto"/>
        </w:rPr>
      </w:pPr>
      <w:bookmarkStart w:id="58" w:name="_Toc40625193"/>
      <w:r>
        <w:rPr>
          <w:color w:val="auto"/>
        </w:rPr>
        <w:t>6</w:t>
      </w:r>
      <w:r>
        <w:rPr>
          <w:rFonts w:hint="eastAsia"/>
          <w:color w:val="auto"/>
        </w:rPr>
        <w:t>.1区域内行业类型的划分</w:t>
      </w:r>
      <w:bookmarkEnd w:id="58"/>
    </w:p>
    <w:p>
      <w:pPr>
        <w:ind w:firstLine="560"/>
        <w:rPr>
          <w:color w:val="auto"/>
        </w:rPr>
      </w:pPr>
      <w:r>
        <w:rPr>
          <w:rFonts w:hint="eastAsia"/>
          <w:color w:val="auto"/>
        </w:rPr>
        <w:t>根据《国民经济行业分类》（GB/T 4754-2017），2019年</w:t>
      </w:r>
      <w:r>
        <w:rPr>
          <w:color w:val="auto"/>
        </w:rPr>
        <w:t>，</w:t>
      </w:r>
      <w:r>
        <w:rPr>
          <w:rFonts w:hint="eastAsia"/>
          <w:color w:val="auto"/>
        </w:rPr>
        <w:t>咸宁高新区</w:t>
      </w:r>
      <w:r>
        <w:rPr>
          <w:color w:val="auto"/>
        </w:rPr>
        <w:t>101</w:t>
      </w:r>
      <w:r>
        <w:rPr>
          <w:rFonts w:hint="eastAsia"/>
          <w:color w:val="auto"/>
        </w:rPr>
        <w:t>家规模以上企业共分为</w:t>
      </w:r>
      <w:r>
        <w:rPr>
          <w:color w:val="auto"/>
        </w:rPr>
        <w:t>23</w:t>
      </w:r>
      <w:r>
        <w:rPr>
          <w:rFonts w:hint="eastAsia"/>
          <w:color w:val="auto"/>
        </w:rPr>
        <w:t>个大类、</w:t>
      </w:r>
      <w:r>
        <w:rPr>
          <w:color w:val="auto"/>
        </w:rPr>
        <w:t>57</w:t>
      </w:r>
      <w:r>
        <w:rPr>
          <w:rFonts w:hint="eastAsia"/>
          <w:color w:val="auto"/>
        </w:rPr>
        <w:t>个中类、</w:t>
      </w:r>
      <w:r>
        <w:rPr>
          <w:color w:val="auto"/>
        </w:rPr>
        <w:t>76</w:t>
      </w:r>
      <w:r>
        <w:rPr>
          <w:rFonts w:hint="eastAsia"/>
          <w:color w:val="auto"/>
        </w:rPr>
        <w:t>个小类行业类型。企业数量最多的是非金属矿物制品业及电气机械和器材制造业，共</w:t>
      </w:r>
      <w:r>
        <w:rPr>
          <w:color w:val="auto"/>
        </w:rPr>
        <w:t>23</w:t>
      </w:r>
      <w:r>
        <w:rPr>
          <w:rFonts w:hint="eastAsia"/>
          <w:color w:val="auto"/>
        </w:rPr>
        <w:t>家，占规上企业比例</w:t>
      </w:r>
      <w:r>
        <w:rPr>
          <w:color w:val="auto"/>
        </w:rPr>
        <w:t>22.77</w:t>
      </w:r>
      <w:r>
        <w:rPr>
          <w:rFonts w:hint="eastAsia"/>
          <w:color w:val="auto"/>
        </w:rPr>
        <w:t>%。高新区内涉及传统六大高能耗行业</w:t>
      </w:r>
      <w:r>
        <w:rPr>
          <w:color w:val="auto"/>
        </w:rPr>
        <w:t>的</w:t>
      </w:r>
      <w:r>
        <w:rPr>
          <w:rFonts w:hint="eastAsia"/>
          <w:color w:val="auto"/>
        </w:rPr>
        <w:t>企业有</w:t>
      </w:r>
      <w:r>
        <w:rPr>
          <w:color w:val="auto"/>
        </w:rPr>
        <w:t>17</w:t>
      </w:r>
      <w:r>
        <w:rPr>
          <w:rFonts w:hint="eastAsia"/>
          <w:color w:val="auto"/>
        </w:rPr>
        <w:t>家（非金属矿物制品业</w:t>
      </w:r>
      <w:r>
        <w:rPr>
          <w:color w:val="auto"/>
        </w:rPr>
        <w:t>11</w:t>
      </w:r>
      <w:r>
        <w:rPr>
          <w:rFonts w:hint="eastAsia"/>
          <w:color w:val="auto"/>
        </w:rPr>
        <w:t>家</w:t>
      </w:r>
      <w:r>
        <w:rPr>
          <w:color w:val="auto"/>
        </w:rPr>
        <w:t>、</w:t>
      </w:r>
      <w:r>
        <w:rPr>
          <w:rFonts w:hint="eastAsia"/>
          <w:color w:val="auto"/>
        </w:rPr>
        <w:t>化学原料和化学制品制造业</w:t>
      </w:r>
      <w:r>
        <w:rPr>
          <w:color w:val="auto"/>
        </w:rPr>
        <w:t>6</w:t>
      </w:r>
      <w:r>
        <w:rPr>
          <w:rFonts w:hint="eastAsia"/>
          <w:color w:val="auto"/>
        </w:rPr>
        <w:t>家），占规上企业比例</w:t>
      </w:r>
      <w:r>
        <w:rPr>
          <w:color w:val="auto"/>
        </w:rPr>
        <w:t>16.83</w:t>
      </w:r>
      <w:r>
        <w:rPr>
          <w:rFonts w:hint="eastAsia"/>
          <w:color w:val="auto"/>
        </w:rPr>
        <w:t>%。</w:t>
      </w:r>
    </w:p>
    <w:p>
      <w:pPr>
        <w:ind w:firstLine="560"/>
        <w:rPr>
          <w:color w:val="auto"/>
        </w:rPr>
      </w:pPr>
      <w:r>
        <w:rPr>
          <w:rFonts w:hint="eastAsia"/>
          <w:color w:val="auto"/>
        </w:rPr>
        <w:t>咸宁高新区行业类型的划分和企业数量占比见下表。</w:t>
      </w:r>
    </w:p>
    <w:p>
      <w:pPr>
        <w:ind w:firstLine="560"/>
        <w:rPr>
          <w:color w:val="auto"/>
        </w:rPr>
      </w:pPr>
    </w:p>
    <w:p>
      <w:pPr>
        <w:ind w:firstLine="560"/>
        <w:rPr>
          <w:color w:val="auto"/>
        </w:rPr>
        <w:sectPr>
          <w:pgSz w:w="11906" w:h="16838"/>
          <w:pgMar w:top="1440" w:right="1800" w:bottom="1440" w:left="1800" w:header="850" w:footer="992" w:gutter="0"/>
          <w:cols w:space="425" w:num="1"/>
          <w:docGrid w:type="lines" w:linePitch="381" w:charSpace="0"/>
        </w:sectPr>
      </w:pP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咸宁高新区行业类型的划分和企业数量占比</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4856"/>
        <w:gridCol w:w="1172"/>
        <w:gridCol w:w="4093"/>
        <w:gridCol w:w="1371"/>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行业大类</w:t>
            </w:r>
          </w:p>
        </w:tc>
        <w:tc>
          <w:tcPr>
            <w:tcW w:w="1666"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行业名称</w:t>
            </w:r>
          </w:p>
        </w:tc>
        <w:tc>
          <w:tcPr>
            <w:tcW w:w="475"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小类代码</w:t>
            </w:r>
          </w:p>
        </w:tc>
        <w:tc>
          <w:tcPr>
            <w:tcW w:w="1517"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小类行业名称</w:t>
            </w:r>
          </w:p>
        </w:tc>
        <w:tc>
          <w:tcPr>
            <w:tcW w:w="546"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企业数量</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（个）</w:t>
            </w:r>
          </w:p>
        </w:tc>
        <w:tc>
          <w:tcPr>
            <w:tcW w:w="476"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eastAsiaTheme="minorEastAsia"/>
                <w:b/>
                <w:color w:val="auto"/>
                <w:kern w:val="0"/>
                <w:sz w:val="24"/>
                <w:szCs w:val="24"/>
              </w:rPr>
              <w:t>企业数量占比</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B10</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非金属矿采选业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B1011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石灰石、石膏开采</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C13</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农副食品加工业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C1331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食用植物油加工</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食品制造业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4</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糕点、面包制造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C1491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营养食品制造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C1495</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食品及饲料添加剂制造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C1499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其他未列明食品制造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酒、饮料和精制茶制造业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5</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C1512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白酒制造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C1521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碳酸饮料制造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C1522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瓶（罐）装饮用水制造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C1529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茶饮料及其他饮料制造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纺织业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5</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棉纺纱加工</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C1713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棉印染精加工</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C1731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麻纤维纺前加工和纺纱</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C1772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毛巾类制品制造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C1789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其他产业用纺织制成品制造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C18</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纺织服装、服饰业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C1819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其他机织服装制造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C20</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木材加工和木、竹、藤、棕、草制品业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4</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C2032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木门窗制造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C2033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木楼梯制造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C2034</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木地板制造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C2041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竹制品制造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C21</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家具制造业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C2110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木质家具制造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C2130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金属家具制造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C22</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造纸和纸制品业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C2221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木竹浆制造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C23</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印刷和记录媒介复制业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C2311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书、报刊印刷</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C2319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其他文教办公用品制造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化学原料和化学制品制造业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6</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C2614</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有机化学原料制造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C2632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生物化学农药及微生物农药制造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C2641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涂料制造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C2651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初级形态塑料及合成树脂制造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C2659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其他合成材料制造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医药制造业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7</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C2730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中药饮片加工</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C2740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中成药生产</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C2750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兽用药品制造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C2761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生物药品制造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C2770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卫生材料及医药用品制造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C29</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橡胶和塑料制品业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C2927</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日用塑料制品制造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非金属矿物制品业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C3021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水泥制品制造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C3031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粘土砖瓦及建筑砌块制造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C3034</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隔热和隔音材料制造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C3039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其他建筑材料制造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C3041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平板玻璃制造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C3049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其他玻璃制造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C3052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光学玻璃制造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金属制品业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8</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金属结构制造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C3333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金属包装容器及材料制造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C3359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其他建筑、安全用金属制品制造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C3381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金属制厨房用器具制造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C3393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锻件及粉末冶金制品制造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C34</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通用设备制造业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4</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C3423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铸造机械制造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C3429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其他金属加工机械制造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C3444</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液压动力机械及元件制造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C3499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其他未列明通用设备制造业</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专用设备制造业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7</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C3513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深海石油钻探设备制造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C3532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农副食品加工专用设备制造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C3589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其他医疗设备及器械制造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C3591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环境保护专用设备制造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C3599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其他专用设备制造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C36</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汽车制造业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4</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C3660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汽车车身、挂车制造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C3670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汽车零部件及配件制造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C37</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铁路、船舶、航空航天和其他运输设备制造业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C3713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窄轨机车车辆制造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电气机械和器材制造业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C3811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发电机及发电机组制造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C3819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其他电机制造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C3821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变压器、整流器和电感器制造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C3825</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光伏设备及元器件制造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C3831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电线、电缆制造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C3833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光缆制造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C3843</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铅蓄电池制造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计算机、通信和其他电子设备制造业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8</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C3961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可穿戴智能设备制造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C3969</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其他智能消费设备制造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C3976</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光电子器件制造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C3981</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电阻电容电感元件制造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C3982</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电子电路制造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C3990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其他电子设备制造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C40</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仪器仪表制造业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C4025</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地质勘探和地震专用仪器制造</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D46</w:t>
            </w: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水的生产和供应业</w:t>
            </w: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b/>
                <w:bCs/>
                <w:color w:val="auto"/>
                <w:kern w:val="0"/>
                <w:sz w:val="24"/>
                <w:szCs w:val="24"/>
              </w:rPr>
            </w:pPr>
            <w:r>
              <w:rPr>
                <w:rFonts w:eastAsiaTheme="minorEastAsia"/>
                <w:b/>
                <w:bCs/>
                <w:color w:val="auto"/>
                <w:kern w:val="0"/>
                <w:sz w:val="24"/>
                <w:szCs w:val="24"/>
              </w:rPr>
              <w:t>2</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D4610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自来水生产和供应</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D4690</w:t>
            </w: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其他水的处理、利用与分配</w:t>
            </w: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20"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66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475"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1517"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c>
          <w:tcPr>
            <w:tcW w:w="54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101</w:t>
            </w:r>
          </w:p>
        </w:tc>
        <w:tc>
          <w:tcPr>
            <w:tcW w:w="47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p>
        </w:tc>
      </w:tr>
    </w:tbl>
    <w:p>
      <w:pPr>
        <w:spacing w:line="240" w:lineRule="auto"/>
        <w:ind w:firstLine="0" w:firstLineChars="0"/>
        <w:rPr>
          <w:color w:val="auto"/>
          <w:sz w:val="22"/>
        </w:rPr>
      </w:pPr>
    </w:p>
    <w:p>
      <w:pPr>
        <w:spacing w:line="240" w:lineRule="auto"/>
        <w:ind w:firstLine="0" w:firstLineChars="0"/>
        <w:rPr>
          <w:color w:val="auto"/>
          <w:sz w:val="22"/>
        </w:rPr>
        <w:sectPr>
          <w:pgSz w:w="16838" w:h="11906" w:orient="landscape"/>
          <w:pgMar w:top="1800" w:right="1440" w:bottom="1800" w:left="1440" w:header="850" w:footer="992" w:gutter="0"/>
          <w:cols w:space="425" w:num="1"/>
          <w:docGrid w:type="lines" w:linePitch="381" w:charSpace="0"/>
        </w:sectPr>
      </w:pPr>
    </w:p>
    <w:p>
      <w:pPr>
        <w:pStyle w:val="3"/>
        <w:ind w:firstLine="643"/>
        <w:rPr>
          <w:color w:val="auto"/>
        </w:rPr>
      </w:pPr>
      <w:bookmarkStart w:id="59" w:name="_Toc40625194"/>
      <w:r>
        <w:rPr>
          <w:color w:val="auto"/>
        </w:rPr>
        <w:t>6</w:t>
      </w:r>
      <w:r>
        <w:rPr>
          <w:rFonts w:hint="eastAsia"/>
          <w:color w:val="auto"/>
        </w:rPr>
        <w:t>.2区域内高耗能行业现状</w:t>
      </w:r>
      <w:bookmarkEnd w:id="59"/>
    </w:p>
    <w:p>
      <w:pPr>
        <w:spacing w:after="190" w:afterLines="50"/>
        <w:ind w:firstLine="560"/>
        <w:rPr>
          <w:color w:val="auto"/>
        </w:rPr>
      </w:pPr>
      <w:r>
        <w:rPr>
          <w:rFonts w:hint="eastAsia"/>
          <w:color w:val="auto"/>
        </w:rPr>
        <w:t>2019年</w:t>
      </w:r>
      <w:r>
        <w:rPr>
          <w:color w:val="auto"/>
        </w:rPr>
        <w:t>，</w:t>
      </w:r>
      <w:r>
        <w:rPr>
          <w:rFonts w:hint="eastAsia"/>
          <w:color w:val="auto"/>
        </w:rPr>
        <w:t>咸宁</w:t>
      </w:r>
      <w:r>
        <w:rPr>
          <w:color w:val="auto"/>
        </w:rPr>
        <w:t>高新区</w:t>
      </w:r>
      <w:r>
        <w:rPr>
          <w:rFonts w:hint="eastAsia"/>
          <w:color w:val="auto"/>
        </w:rPr>
        <w:t>按</w:t>
      </w:r>
      <w:r>
        <w:rPr>
          <w:color w:val="auto"/>
        </w:rPr>
        <w:t>行业</w:t>
      </w:r>
      <w:r>
        <w:rPr>
          <w:rFonts w:hint="eastAsia"/>
          <w:color w:val="auto"/>
        </w:rPr>
        <w:t>分类</w:t>
      </w:r>
      <w:r>
        <w:rPr>
          <w:color w:val="auto"/>
        </w:rPr>
        <w:t>，</w:t>
      </w:r>
      <w:r>
        <w:rPr>
          <w:rFonts w:hint="eastAsia"/>
          <w:color w:val="auto"/>
        </w:rPr>
        <w:t>能源消费量</w:t>
      </w:r>
      <w:r>
        <w:rPr>
          <w:color w:val="auto"/>
        </w:rPr>
        <w:t>按当量值计算，排名</w:t>
      </w:r>
      <w:r>
        <w:rPr>
          <w:rFonts w:hint="eastAsia"/>
          <w:color w:val="auto"/>
        </w:rPr>
        <w:t>前六</w:t>
      </w:r>
      <w:r>
        <w:rPr>
          <w:color w:val="auto"/>
        </w:rPr>
        <w:t>的产业为</w:t>
      </w:r>
      <w:r>
        <w:rPr>
          <w:rFonts w:hint="eastAsia"/>
          <w:color w:val="auto"/>
        </w:rPr>
        <w:t>：非金属矿物制品业（C</w:t>
      </w:r>
      <w:r>
        <w:rPr>
          <w:color w:val="auto"/>
        </w:rPr>
        <w:t>30</w:t>
      </w:r>
      <w:r>
        <w:rPr>
          <w:rFonts w:hint="eastAsia"/>
          <w:color w:val="auto"/>
        </w:rPr>
        <w:t>）、酒、饮料和精制茶制造业（C</w:t>
      </w:r>
      <w:r>
        <w:rPr>
          <w:color w:val="auto"/>
        </w:rPr>
        <w:t>15</w:t>
      </w:r>
      <w:r>
        <w:rPr>
          <w:rFonts w:hint="eastAsia"/>
          <w:color w:val="auto"/>
        </w:rPr>
        <w:t>）、纺织业（C</w:t>
      </w:r>
      <w:r>
        <w:rPr>
          <w:color w:val="auto"/>
        </w:rPr>
        <w:t>17</w:t>
      </w:r>
      <w:r>
        <w:rPr>
          <w:rFonts w:hint="eastAsia"/>
          <w:color w:val="auto"/>
        </w:rPr>
        <w:t>）、金属制品业（C</w:t>
      </w:r>
      <w:r>
        <w:rPr>
          <w:color w:val="auto"/>
        </w:rPr>
        <w:t>33</w:t>
      </w:r>
      <w:r>
        <w:rPr>
          <w:rFonts w:hint="eastAsia"/>
          <w:color w:val="auto"/>
        </w:rPr>
        <w:t>）、医药制造业（C</w:t>
      </w:r>
      <w:r>
        <w:rPr>
          <w:color w:val="auto"/>
        </w:rPr>
        <w:t>27</w:t>
      </w:r>
      <w:r>
        <w:rPr>
          <w:rFonts w:hint="eastAsia"/>
          <w:color w:val="auto"/>
        </w:rPr>
        <w:t>）、造纸和纸制品业（C</w:t>
      </w:r>
      <w:r>
        <w:rPr>
          <w:color w:val="auto"/>
        </w:rPr>
        <w:t>22</w:t>
      </w:r>
      <w:r>
        <w:rPr>
          <w:rFonts w:hint="eastAsia"/>
          <w:color w:val="auto"/>
        </w:rPr>
        <w:t>）。</w:t>
      </w:r>
      <w:r>
        <w:rPr>
          <w:color w:val="auto"/>
        </w:rPr>
        <w:t>其</w:t>
      </w:r>
      <w:r>
        <w:rPr>
          <w:rFonts w:hint="eastAsia"/>
          <w:color w:val="auto"/>
        </w:rPr>
        <w:t>行业</w:t>
      </w:r>
      <w:r>
        <w:rPr>
          <w:color w:val="auto"/>
        </w:rPr>
        <w:t>能耗占比情况如下图所示：</w:t>
      </w:r>
    </w:p>
    <w:p>
      <w:pPr>
        <w:keepNext/>
        <w:ind w:firstLine="0" w:firstLineChars="0"/>
        <w:rPr>
          <w:color w:val="auto"/>
        </w:rPr>
      </w:pPr>
      <w:r>
        <w:rPr>
          <w:color w:val="auto"/>
        </w:rPr>
        <w:drawing>
          <wp:inline distT="0" distB="0" distL="0" distR="0">
            <wp:extent cx="4933950" cy="2795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l="1466" t="2235" r="3639" b="8287"/>
                    <a:stretch>
                      <a:fillRect/>
                    </a:stretch>
                  </pic:blipFill>
                  <pic:spPr>
                    <a:xfrm>
                      <a:off x="0" y="0"/>
                      <a:ext cx="4945763" cy="2803223"/>
                    </a:xfrm>
                    <a:prstGeom prst="rect">
                      <a:avLst/>
                    </a:prstGeom>
                    <a:noFill/>
                    <a:ln>
                      <a:noFill/>
                    </a:ln>
                  </pic:spPr>
                </pic:pic>
              </a:graphicData>
            </a:graphic>
          </wp:inline>
        </w:drawing>
      </w:r>
    </w:p>
    <w:p>
      <w:pPr>
        <w:pStyle w:val="9"/>
        <w:rPr>
          <w:color w:val="auto"/>
        </w:rPr>
      </w:pPr>
      <w:r>
        <w:rPr>
          <w:rFonts w:hint="eastAsia"/>
          <w:color w:val="auto"/>
        </w:rPr>
        <w:t xml:space="preserve">图6- </w:t>
      </w:r>
      <w:r>
        <w:rPr>
          <w:color w:val="auto"/>
        </w:rPr>
        <w:fldChar w:fldCharType="begin"/>
      </w:r>
      <w:r>
        <w:rPr>
          <w:color w:val="auto"/>
        </w:rPr>
        <w:instrText xml:space="preserve"> </w:instrText>
      </w:r>
      <w:r>
        <w:rPr>
          <w:rFonts w:hint="eastAsia"/>
          <w:color w:val="auto"/>
        </w:rPr>
        <w:instrText xml:space="preserve">SEQ 图6-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咸宁高新区能源</w:t>
      </w:r>
      <w:r>
        <w:rPr>
          <w:color w:val="auto"/>
        </w:rPr>
        <w:t>消费</w:t>
      </w:r>
      <w:r>
        <w:rPr>
          <w:rFonts w:hint="eastAsia"/>
          <w:color w:val="auto"/>
        </w:rPr>
        <w:t>行业占比</w:t>
      </w:r>
      <w:r>
        <w:rPr>
          <w:color w:val="auto"/>
        </w:rPr>
        <w:t>情况</w:t>
      </w:r>
    </w:p>
    <w:p>
      <w:pPr>
        <w:pStyle w:val="4"/>
        <w:ind w:firstLine="602"/>
        <w:rPr>
          <w:color w:val="auto"/>
        </w:rPr>
      </w:pPr>
      <w:bookmarkStart w:id="60" w:name="_Toc40625195"/>
      <w:r>
        <w:rPr>
          <w:rFonts w:hint="eastAsia"/>
          <w:color w:val="auto"/>
        </w:rPr>
        <w:t>6</w:t>
      </w:r>
      <w:r>
        <w:rPr>
          <w:color w:val="auto"/>
        </w:rPr>
        <w:t>.2.1</w:t>
      </w:r>
      <w:r>
        <w:rPr>
          <w:rFonts w:hint="eastAsia"/>
          <w:color w:val="auto"/>
        </w:rPr>
        <w:t>非金属矿物制品业</w:t>
      </w:r>
      <w:bookmarkEnd w:id="60"/>
    </w:p>
    <w:p>
      <w:pPr>
        <w:ind w:firstLine="560"/>
        <w:rPr>
          <w:color w:val="auto"/>
        </w:rPr>
      </w:pPr>
      <w:r>
        <w:rPr>
          <w:rFonts w:hint="eastAsia"/>
          <w:color w:val="auto"/>
        </w:rPr>
        <w:t>非金属矿物制品业是咸宁高新区第一用能行业，区内现有11家非金属矿物制品业规上企业，主要集中在建筑材料及玻璃制造业，其中咸宁南玻光电玻璃有限公司、咸宁南玻玻璃有限公司、咸宁南玻节能玻璃有限公司是主要耗能大户，</w:t>
      </w:r>
      <w:r>
        <w:rPr>
          <w:color w:val="auto"/>
        </w:rPr>
        <w:t>其</w:t>
      </w:r>
      <w:r>
        <w:rPr>
          <w:rFonts w:hint="eastAsia"/>
          <w:color w:val="auto"/>
        </w:rPr>
        <w:t>能效</w:t>
      </w:r>
      <w:r>
        <w:rPr>
          <w:color w:val="auto"/>
        </w:rPr>
        <w:t>整体达到国内先进水平</w:t>
      </w:r>
      <w:r>
        <w:rPr>
          <w:rFonts w:hint="eastAsia"/>
          <w:color w:val="auto"/>
        </w:rPr>
        <w:t>。2</w:t>
      </w:r>
      <w:r>
        <w:rPr>
          <w:color w:val="auto"/>
        </w:rPr>
        <w:t>019</w:t>
      </w:r>
      <w:r>
        <w:rPr>
          <w:rFonts w:hint="eastAsia"/>
          <w:color w:val="auto"/>
        </w:rPr>
        <w:t>年</w:t>
      </w:r>
      <w:r>
        <w:rPr>
          <w:color w:val="auto"/>
        </w:rPr>
        <w:t>。</w:t>
      </w:r>
      <w:r>
        <w:rPr>
          <w:rFonts w:hint="eastAsia"/>
          <w:color w:val="auto"/>
        </w:rPr>
        <w:t>区内</w:t>
      </w:r>
      <w:r>
        <w:rPr>
          <w:color w:val="auto"/>
        </w:rPr>
        <w:t>三家</w:t>
      </w:r>
      <w:r>
        <w:rPr>
          <w:rFonts w:hint="eastAsia"/>
          <w:color w:val="auto"/>
        </w:rPr>
        <w:t>玻璃产品生产</w:t>
      </w:r>
      <w:r>
        <w:rPr>
          <w:color w:val="auto"/>
        </w:rPr>
        <w:t>企业</w:t>
      </w:r>
      <w:r>
        <w:rPr>
          <w:rFonts w:hint="eastAsia"/>
          <w:color w:val="auto"/>
        </w:rPr>
        <w:t>能耗</w:t>
      </w:r>
      <w:r>
        <w:rPr>
          <w:color w:val="auto"/>
        </w:rPr>
        <w:t>占高新区</w:t>
      </w:r>
      <w:r>
        <w:rPr>
          <w:rFonts w:hint="eastAsia"/>
          <w:color w:val="auto"/>
        </w:rPr>
        <w:t>非金属矿物制品业整体</w:t>
      </w:r>
      <w:r>
        <w:rPr>
          <w:color w:val="auto"/>
        </w:rPr>
        <w:t>能耗的</w:t>
      </w:r>
      <w:r>
        <w:rPr>
          <w:rFonts w:hint="eastAsia"/>
          <w:color w:val="auto"/>
        </w:rPr>
        <w:t>99</w:t>
      </w:r>
      <w:r>
        <w:rPr>
          <w:color w:val="auto"/>
        </w:rPr>
        <w:t>%以上，</w:t>
      </w:r>
      <w:r>
        <w:rPr>
          <w:rFonts w:hint="eastAsia"/>
          <w:color w:val="auto"/>
        </w:rPr>
        <w:t>产值</w:t>
      </w:r>
      <w:r>
        <w:rPr>
          <w:color w:val="auto"/>
        </w:rPr>
        <w:t>占比</w:t>
      </w:r>
      <w:r>
        <w:rPr>
          <w:rFonts w:hint="eastAsia"/>
          <w:color w:val="auto"/>
        </w:rPr>
        <w:t>70</w:t>
      </w:r>
      <w:r>
        <w:rPr>
          <w:color w:val="auto"/>
        </w:rPr>
        <w:t>%以上。</w:t>
      </w:r>
      <w:r>
        <w:rPr>
          <w:rFonts w:hint="eastAsia"/>
          <w:color w:val="auto"/>
        </w:rPr>
        <w:t>行业其他</w:t>
      </w:r>
      <w:r>
        <w:rPr>
          <w:color w:val="auto"/>
        </w:rPr>
        <w:t>企业主要从事</w:t>
      </w:r>
      <w:r>
        <w:rPr>
          <w:rFonts w:hint="eastAsia"/>
          <w:color w:val="auto"/>
        </w:rPr>
        <w:t>商品砼、加气</w:t>
      </w:r>
      <w:r>
        <w:rPr>
          <w:color w:val="auto"/>
        </w:rPr>
        <w:t>块</w:t>
      </w:r>
      <w:r>
        <w:rPr>
          <w:rFonts w:hint="eastAsia"/>
          <w:color w:val="auto"/>
        </w:rPr>
        <w:t>、保温</w:t>
      </w:r>
      <w:r>
        <w:rPr>
          <w:color w:val="auto"/>
        </w:rPr>
        <w:t>材料</w:t>
      </w:r>
      <w:r>
        <w:rPr>
          <w:rFonts w:hint="eastAsia"/>
          <w:color w:val="auto"/>
        </w:rPr>
        <w:t>、建筑</w:t>
      </w:r>
      <w:r>
        <w:rPr>
          <w:color w:val="auto"/>
        </w:rPr>
        <w:t>模板的生产与销售，其</w:t>
      </w:r>
      <w:r>
        <w:rPr>
          <w:rFonts w:hint="eastAsia"/>
          <w:color w:val="auto"/>
        </w:rPr>
        <w:t>耗能</w:t>
      </w:r>
      <w:r>
        <w:rPr>
          <w:color w:val="auto"/>
        </w:rPr>
        <w:t>占比</w:t>
      </w:r>
      <w:r>
        <w:rPr>
          <w:rFonts w:hint="eastAsia"/>
          <w:color w:val="auto"/>
        </w:rPr>
        <w:t>相对</w:t>
      </w:r>
      <w:r>
        <w:rPr>
          <w:color w:val="auto"/>
        </w:rPr>
        <w:t>较小</w:t>
      </w:r>
      <w:r>
        <w:rPr>
          <w:rFonts w:hint="eastAsia"/>
          <w:color w:val="auto"/>
        </w:rPr>
        <w:t>，</w:t>
      </w:r>
      <w:r>
        <w:rPr>
          <w:color w:val="auto"/>
        </w:rPr>
        <w:t>产品</w:t>
      </w:r>
      <w:r>
        <w:rPr>
          <w:rFonts w:hint="eastAsia"/>
          <w:color w:val="auto"/>
        </w:rPr>
        <w:t>单耗满足</w:t>
      </w:r>
      <w:r>
        <w:rPr>
          <w:color w:val="auto"/>
        </w:rPr>
        <w:t>国家</w:t>
      </w:r>
      <w:r>
        <w:rPr>
          <w:rFonts w:hint="eastAsia"/>
          <w:color w:val="auto"/>
        </w:rPr>
        <w:t>相关</w:t>
      </w:r>
      <w:r>
        <w:rPr>
          <w:color w:val="auto"/>
        </w:rPr>
        <w:t>标准要求</w:t>
      </w:r>
      <w:r>
        <w:rPr>
          <w:rFonts w:hint="eastAsia"/>
          <w:color w:val="auto"/>
        </w:rPr>
        <w:t>，其中EPS板、建筑铝模等</w:t>
      </w:r>
      <w:r>
        <w:rPr>
          <w:color w:val="auto"/>
        </w:rPr>
        <w:t>产品属于国家鼓励</w:t>
      </w:r>
      <w:r>
        <w:rPr>
          <w:rFonts w:hint="eastAsia"/>
          <w:color w:val="auto"/>
        </w:rPr>
        <w:t>推广</w:t>
      </w:r>
      <w:r>
        <w:rPr>
          <w:color w:val="auto"/>
        </w:rPr>
        <w:t>的节能环保产品</w:t>
      </w:r>
      <w:r>
        <w:rPr>
          <w:rFonts w:hint="eastAsia"/>
          <w:color w:val="auto"/>
        </w:rPr>
        <w:t>。</w:t>
      </w:r>
    </w:p>
    <w:p>
      <w:pPr>
        <w:ind w:firstLine="560"/>
        <w:rPr>
          <w:color w:val="auto"/>
        </w:rPr>
      </w:pPr>
      <w:r>
        <w:rPr>
          <w:rFonts w:hint="eastAsia"/>
          <w:color w:val="auto"/>
        </w:rPr>
        <w:t>2019年，区内相关企业能耗情况如下表所示：</w:t>
      </w: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2019</w:t>
      </w:r>
      <w:r>
        <w:rPr>
          <w:rFonts w:hint="eastAsia"/>
          <w:color w:val="auto"/>
        </w:rPr>
        <w:t>年高新区非金属矿物制品业规上企业能耗情况（当量值）</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07"/>
        <w:gridCol w:w="1420"/>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企业名称</w:t>
            </w:r>
          </w:p>
        </w:tc>
        <w:tc>
          <w:tcPr>
            <w:tcW w:w="849"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（tce）</w:t>
            </w:r>
          </w:p>
        </w:tc>
        <w:tc>
          <w:tcPr>
            <w:tcW w:w="848"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（万元）</w:t>
            </w:r>
          </w:p>
        </w:tc>
        <w:tc>
          <w:tcPr>
            <w:tcW w:w="847" w:type="pct"/>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咸宁恒兴砼业有限公司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130.13</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3915.9</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湖北新港建设发展有限公司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486.25</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6518</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咸宁方远建材科技有限公司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575.07</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9638.71</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咸宁欣畅管业有限公司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62.55</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3888</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咸宁市华桥新型建材有限公司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124.02</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8737.9</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湖北天泉投资有限公司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湖北贵泉新型节能建筑材料有限公司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14.75</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5475</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湖北志特新材料科技有限公司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103.24</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22983</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咸宁南玻玻璃有限公司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127903.8</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74334.5</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咸宁南玻节能玻璃有限公司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5551.79</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48703.63</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咸宁南玻光电玻璃有限公司</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23117.98</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21618.3</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456"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小计</w:t>
            </w:r>
          </w:p>
        </w:tc>
        <w:tc>
          <w:tcPr>
            <w:tcW w:w="84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158069.54</w:t>
            </w:r>
          </w:p>
        </w:tc>
        <w:tc>
          <w:tcPr>
            <w:tcW w:w="848"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205812.94</w:t>
            </w:r>
          </w:p>
        </w:tc>
        <w:tc>
          <w:tcPr>
            <w:tcW w:w="847" w:type="pct"/>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0.7680</w:t>
            </w:r>
          </w:p>
        </w:tc>
      </w:tr>
    </w:tbl>
    <w:p>
      <w:pPr>
        <w:spacing w:line="240" w:lineRule="auto"/>
        <w:ind w:firstLine="0" w:firstLineChars="0"/>
        <w:rPr>
          <w:color w:val="auto"/>
          <w:sz w:val="21"/>
        </w:rPr>
      </w:pPr>
    </w:p>
    <w:p>
      <w:pPr>
        <w:pStyle w:val="4"/>
        <w:ind w:firstLine="602"/>
        <w:rPr>
          <w:color w:val="auto"/>
        </w:rPr>
      </w:pPr>
      <w:bookmarkStart w:id="61" w:name="_Toc40625196"/>
      <w:r>
        <w:rPr>
          <w:rFonts w:hint="eastAsia"/>
          <w:color w:val="auto"/>
        </w:rPr>
        <w:t>6.2.2酒、饮料和精制茶制造业</w:t>
      </w:r>
      <w:bookmarkEnd w:id="61"/>
    </w:p>
    <w:p>
      <w:pPr>
        <w:ind w:firstLine="560"/>
        <w:rPr>
          <w:color w:val="auto"/>
        </w:rPr>
      </w:pPr>
      <w:r>
        <w:rPr>
          <w:rFonts w:hint="eastAsia"/>
          <w:color w:val="auto"/>
        </w:rPr>
        <w:t>酒、饮料和精制茶制造业是咸宁高新区第二耗能行业，区内现有</w:t>
      </w:r>
      <w:r>
        <w:rPr>
          <w:color w:val="auto"/>
        </w:rPr>
        <w:t>5</w:t>
      </w:r>
      <w:r>
        <w:rPr>
          <w:rFonts w:hint="eastAsia"/>
          <w:color w:val="auto"/>
        </w:rPr>
        <w:t>家酒、饮料和精制茶制造业规上企业，主要为饮料生产企业，其中红牛维他命饮料（湖北）有限公司、湖北奥瑞金饮料工业有限公司、今麦郎饮品（咸宁）有限公司是主要耗能大户。</w:t>
      </w:r>
      <w:r>
        <w:rPr>
          <w:color w:val="auto"/>
        </w:rPr>
        <w:t>其能耗整体达到国内先进水平</w:t>
      </w:r>
      <w:r>
        <w:rPr>
          <w:rFonts w:hint="eastAsia"/>
          <w:color w:val="auto"/>
        </w:rPr>
        <w:t>。2</w:t>
      </w:r>
      <w:r>
        <w:rPr>
          <w:color w:val="auto"/>
        </w:rPr>
        <w:t>019</w:t>
      </w:r>
      <w:r>
        <w:rPr>
          <w:rFonts w:hint="eastAsia"/>
          <w:color w:val="auto"/>
        </w:rPr>
        <w:t>年</w:t>
      </w:r>
      <w:r>
        <w:rPr>
          <w:color w:val="auto"/>
        </w:rPr>
        <w:t>。</w:t>
      </w:r>
      <w:r>
        <w:rPr>
          <w:rFonts w:hint="eastAsia"/>
          <w:color w:val="auto"/>
        </w:rPr>
        <w:t>区内</w:t>
      </w:r>
      <w:r>
        <w:rPr>
          <w:color w:val="auto"/>
        </w:rPr>
        <w:t>三家</w:t>
      </w:r>
      <w:r>
        <w:rPr>
          <w:rFonts w:hint="eastAsia"/>
          <w:color w:val="auto"/>
        </w:rPr>
        <w:t>饮料生产</w:t>
      </w:r>
      <w:r>
        <w:rPr>
          <w:color w:val="auto"/>
        </w:rPr>
        <w:t>企业</w:t>
      </w:r>
      <w:r>
        <w:rPr>
          <w:rFonts w:hint="eastAsia"/>
          <w:color w:val="auto"/>
        </w:rPr>
        <w:t>能耗</w:t>
      </w:r>
      <w:r>
        <w:rPr>
          <w:color w:val="auto"/>
        </w:rPr>
        <w:t>占高新区</w:t>
      </w:r>
      <w:r>
        <w:rPr>
          <w:rFonts w:hint="eastAsia"/>
          <w:color w:val="auto"/>
        </w:rPr>
        <w:t>酒、饮料和精制茶制造业整体</w:t>
      </w:r>
      <w:r>
        <w:rPr>
          <w:color w:val="auto"/>
        </w:rPr>
        <w:t>能耗的</w:t>
      </w:r>
      <w:r>
        <w:rPr>
          <w:rFonts w:hint="eastAsia"/>
          <w:color w:val="auto"/>
        </w:rPr>
        <w:t>9</w:t>
      </w:r>
      <w:r>
        <w:rPr>
          <w:color w:val="auto"/>
        </w:rPr>
        <w:t>3%以上，</w:t>
      </w:r>
      <w:r>
        <w:rPr>
          <w:rFonts w:hint="eastAsia"/>
          <w:color w:val="auto"/>
        </w:rPr>
        <w:t>产值</w:t>
      </w:r>
      <w:r>
        <w:rPr>
          <w:color w:val="auto"/>
        </w:rPr>
        <w:t>占比9</w:t>
      </w:r>
      <w:r>
        <w:rPr>
          <w:rFonts w:hint="eastAsia"/>
          <w:color w:val="auto"/>
        </w:rPr>
        <w:t>0</w:t>
      </w:r>
      <w:r>
        <w:rPr>
          <w:color w:val="auto"/>
        </w:rPr>
        <w:t>%以上。</w:t>
      </w:r>
    </w:p>
    <w:p>
      <w:pPr>
        <w:ind w:firstLine="560"/>
        <w:rPr>
          <w:color w:val="auto"/>
        </w:rPr>
      </w:pPr>
      <w:r>
        <w:rPr>
          <w:rFonts w:hint="eastAsia"/>
          <w:color w:val="auto"/>
        </w:rPr>
        <w:t>2019年，区内相关企业能耗情况如下表所示：</w:t>
      </w: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2019年高新区酒、饮料和精制茶制造业规上企业能耗情况（当量值）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9"/>
        <w:gridCol w:w="1404"/>
        <w:gridCol w:w="14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企业名称</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（万元）</w:t>
            </w:r>
          </w:p>
        </w:tc>
        <w:tc>
          <w:tcPr>
            <w:tcW w:w="8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天龙黄鹤楼酒业咸宁有限公司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1112.56</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36120.45</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湖北奥瑞金饮料工业有限公司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4463.56</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8270.4</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0.5397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今麦郎饮品（咸宁）有限公司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3222.6</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23235.8</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红牛维他命饮料（湖北）有限公司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7280.62</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393899.5</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捷通（咸宁）食品科技有限公司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0.57</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6071.03</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小计</w:t>
            </w:r>
          </w:p>
        </w:tc>
        <w:tc>
          <w:tcPr>
            <w:tcW w:w="834" w:type="pct"/>
            <w:shd w:val="clear" w:color="auto" w:fill="auto"/>
            <w:noWrap/>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16079.91</w:t>
            </w:r>
          </w:p>
        </w:tc>
        <w:tc>
          <w:tcPr>
            <w:tcW w:w="834" w:type="pct"/>
            <w:shd w:val="clear" w:color="auto" w:fill="auto"/>
            <w:noWrap/>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467597.18</w:t>
            </w:r>
          </w:p>
        </w:tc>
        <w:tc>
          <w:tcPr>
            <w:tcW w:w="833" w:type="pct"/>
            <w:shd w:val="clear" w:color="auto" w:fill="auto"/>
            <w:noWrap/>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0.0344</w:t>
            </w:r>
          </w:p>
        </w:tc>
      </w:tr>
    </w:tbl>
    <w:p>
      <w:pPr>
        <w:spacing w:line="240" w:lineRule="auto"/>
        <w:ind w:firstLine="0" w:firstLineChars="0"/>
        <w:rPr>
          <w:color w:val="auto"/>
          <w:sz w:val="24"/>
        </w:rPr>
      </w:pPr>
    </w:p>
    <w:p>
      <w:pPr>
        <w:pStyle w:val="4"/>
        <w:ind w:firstLine="602"/>
        <w:rPr>
          <w:color w:val="auto"/>
        </w:rPr>
      </w:pPr>
      <w:bookmarkStart w:id="62" w:name="_Toc40625197"/>
      <w:r>
        <w:rPr>
          <w:rFonts w:hint="eastAsia"/>
          <w:color w:val="auto"/>
        </w:rPr>
        <w:t>6.2.3纺织业</w:t>
      </w:r>
      <w:bookmarkEnd w:id="62"/>
    </w:p>
    <w:p>
      <w:pPr>
        <w:ind w:firstLine="560"/>
        <w:rPr>
          <w:color w:val="auto"/>
        </w:rPr>
      </w:pPr>
      <w:r>
        <w:rPr>
          <w:rFonts w:hint="eastAsia"/>
          <w:color w:val="auto"/>
        </w:rPr>
        <w:t>纺织业是咸宁高新区第三耗能行业，区内现有5家纺织业规上企业，主要为纺织品加工企业，其中湖北天化麻业股份有限公司、咸宁润雅毛巾有限公司是主要耗能大户。</w:t>
      </w:r>
    </w:p>
    <w:p>
      <w:pPr>
        <w:ind w:firstLine="560"/>
        <w:rPr>
          <w:color w:val="auto"/>
        </w:rPr>
      </w:pPr>
      <w:r>
        <w:rPr>
          <w:rFonts w:hint="eastAsia"/>
          <w:color w:val="auto"/>
        </w:rPr>
        <w:t>2019年，区内相关企业能耗情况如下表所示：</w:t>
      </w: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4</w:t>
      </w:r>
      <w:r>
        <w:rPr>
          <w:color w:val="auto"/>
        </w:rPr>
        <w:fldChar w:fldCharType="end"/>
      </w:r>
      <w:r>
        <w:rPr>
          <w:color w:val="auto"/>
        </w:rPr>
        <w:t xml:space="preserve"> </w:t>
      </w:r>
      <w:r>
        <w:rPr>
          <w:rFonts w:hint="eastAsia"/>
          <w:color w:val="auto"/>
        </w:rPr>
        <w:t>2019年高新区纺织业规上企业能耗情况（当量值）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9"/>
        <w:gridCol w:w="1404"/>
        <w:gridCol w:w="14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企业名称</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（万元）</w:t>
            </w:r>
          </w:p>
        </w:tc>
        <w:tc>
          <w:tcPr>
            <w:tcW w:w="8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湖北维新纺织股份有限公司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1475.82</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6071.027</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咸宁瑞雅毛巾有限公司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1235.19</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14158.2</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湖北天化麻业股份有限公司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3497.73</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6853.5</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咸宁润雅毛巾有限公司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2975.69</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25708</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咸宁爱科医疗用品有限公司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307.99</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15551.92</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小计</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9492.42</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70795.277</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eastAsiaTheme="minorEastAsia"/>
                <w:color w:val="auto"/>
                <w:kern w:val="0"/>
                <w:sz w:val="24"/>
                <w:szCs w:val="24"/>
              </w:rPr>
              <w:t>0.1341</w:t>
            </w:r>
          </w:p>
        </w:tc>
      </w:tr>
    </w:tbl>
    <w:p>
      <w:pPr>
        <w:spacing w:line="240" w:lineRule="auto"/>
        <w:ind w:firstLine="0" w:firstLineChars="0"/>
        <w:rPr>
          <w:color w:val="auto"/>
        </w:rPr>
      </w:pPr>
    </w:p>
    <w:p>
      <w:pPr>
        <w:pStyle w:val="4"/>
        <w:ind w:firstLine="602"/>
        <w:rPr>
          <w:color w:val="auto"/>
        </w:rPr>
      </w:pPr>
      <w:bookmarkStart w:id="63" w:name="_Toc40625198"/>
      <w:r>
        <w:rPr>
          <w:rFonts w:hint="eastAsia"/>
          <w:color w:val="auto"/>
        </w:rPr>
        <w:t>6.2.4金属制品业</w:t>
      </w:r>
      <w:bookmarkEnd w:id="63"/>
    </w:p>
    <w:p>
      <w:pPr>
        <w:ind w:firstLine="560"/>
        <w:rPr>
          <w:color w:val="auto"/>
        </w:rPr>
      </w:pPr>
      <w:r>
        <w:rPr>
          <w:rFonts w:hint="eastAsia"/>
          <w:color w:val="auto"/>
        </w:rPr>
        <w:t>金属制品业是咸宁高新区第四耗能行业，区内现有</w:t>
      </w:r>
      <w:r>
        <w:rPr>
          <w:color w:val="auto"/>
        </w:rPr>
        <w:t>8</w:t>
      </w:r>
      <w:r>
        <w:rPr>
          <w:rFonts w:hint="eastAsia"/>
          <w:color w:val="auto"/>
        </w:rPr>
        <w:t>家金属制品业规上企业，主要为区内为饮料生产配套的金属包装容器制造企业，其中湖北奥瑞金制罐有限公司、湖北奥瑞金包装有限公司是主要耗能大户。</w:t>
      </w:r>
    </w:p>
    <w:p>
      <w:pPr>
        <w:ind w:firstLine="560"/>
        <w:rPr>
          <w:color w:val="auto"/>
        </w:rPr>
      </w:pPr>
      <w:r>
        <w:rPr>
          <w:rFonts w:hint="eastAsia"/>
          <w:color w:val="auto"/>
        </w:rPr>
        <w:t>2019年，区内相关企业能耗情况如下表所示：</w:t>
      </w:r>
    </w:p>
    <w:p>
      <w:pPr>
        <w:pStyle w:val="9"/>
        <w:keepNext/>
        <w:ind w:firstLine="560"/>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5</w:t>
      </w:r>
      <w:r>
        <w:rPr>
          <w:color w:val="auto"/>
        </w:rPr>
        <w:fldChar w:fldCharType="end"/>
      </w:r>
      <w:r>
        <w:rPr>
          <w:color w:val="auto"/>
        </w:rPr>
        <w:t xml:space="preserve"> </w:t>
      </w:r>
      <w:r>
        <w:rPr>
          <w:rFonts w:hint="eastAsia"/>
          <w:color w:val="auto"/>
        </w:rPr>
        <w:t>2019年高新区金属制品业规上企业能耗情况（当量值）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9"/>
        <w:gridCol w:w="1404"/>
        <w:gridCol w:w="14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企业名称</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（万元）</w:t>
            </w:r>
          </w:p>
        </w:tc>
        <w:tc>
          <w:tcPr>
            <w:tcW w:w="8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华夏金桥湖北商业设施股份有限公司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340.73</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5356</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咸宁万力钢结构有限公司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185.58</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16500.26</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湖北金星钢结构工程有限公司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99.55</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4059</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湖北奥瑞金制罐有限公司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2676.59</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170759.259</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湖北奥瑞金包装有限公司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3098.37</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18757.306</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0.1652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湖北港都商贸有限公司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11.31</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3058.2</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湖北近藤商用电气有限公司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5.53</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3138.5</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color w:val="auto"/>
                <w:sz w:val="24"/>
                <w:szCs w:val="24"/>
              </w:rPr>
              <w:t>湖北凯创机械有限公司</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148.14</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3858.7</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color w:val="auto"/>
                <w:kern w:val="0"/>
                <w:sz w:val="24"/>
                <w:szCs w:val="24"/>
              </w:rPr>
              <w:t>小计</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6565.8</w:t>
            </w:r>
          </w:p>
        </w:tc>
        <w:tc>
          <w:tcPr>
            <w:tcW w:w="834"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225487.225</w:t>
            </w:r>
          </w:p>
        </w:tc>
        <w:tc>
          <w:tcPr>
            <w:tcW w:w="833"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color w:val="auto"/>
                <w:sz w:val="24"/>
                <w:szCs w:val="24"/>
              </w:rPr>
              <w:t>0.0291</w:t>
            </w:r>
          </w:p>
        </w:tc>
      </w:tr>
    </w:tbl>
    <w:p>
      <w:pPr>
        <w:spacing w:line="240" w:lineRule="auto"/>
        <w:ind w:firstLine="0" w:firstLineChars="0"/>
        <w:rPr>
          <w:color w:val="auto"/>
        </w:rPr>
      </w:pPr>
    </w:p>
    <w:p>
      <w:pPr>
        <w:pStyle w:val="4"/>
        <w:ind w:firstLine="602"/>
        <w:rPr>
          <w:color w:val="auto"/>
        </w:rPr>
      </w:pPr>
      <w:bookmarkStart w:id="64" w:name="_Toc40625199"/>
      <w:r>
        <w:rPr>
          <w:rFonts w:hint="eastAsia"/>
          <w:color w:val="auto"/>
        </w:rPr>
        <w:t>6.2.5医药制造业</w:t>
      </w:r>
      <w:bookmarkEnd w:id="64"/>
    </w:p>
    <w:p>
      <w:pPr>
        <w:ind w:firstLine="560"/>
        <w:rPr>
          <w:color w:val="auto"/>
        </w:rPr>
      </w:pPr>
      <w:r>
        <w:rPr>
          <w:rFonts w:hint="eastAsia"/>
          <w:color w:val="auto"/>
        </w:rPr>
        <w:t>医药制造业是咸宁高新区第五耗能行业，区内现有</w:t>
      </w:r>
      <w:r>
        <w:rPr>
          <w:color w:val="auto"/>
        </w:rPr>
        <w:t>7</w:t>
      </w:r>
      <w:r>
        <w:rPr>
          <w:rFonts w:hint="eastAsia"/>
          <w:color w:val="auto"/>
        </w:rPr>
        <w:t>家医药制造业规上企业，主要为卫生材料及医药用品制造企业，其中金士达医疗（咸宁）有限公司、湖北福人金身药业有限公司是主要耗能用户。</w:t>
      </w:r>
    </w:p>
    <w:p>
      <w:pPr>
        <w:ind w:firstLine="560"/>
        <w:rPr>
          <w:color w:val="auto"/>
        </w:rPr>
      </w:pPr>
      <w:r>
        <w:rPr>
          <w:rFonts w:hint="eastAsia"/>
          <w:color w:val="auto"/>
        </w:rPr>
        <w:t>2019年，区内相关企业能耗情况如下表所示：</w:t>
      </w:r>
    </w:p>
    <w:p>
      <w:pPr>
        <w:pStyle w:val="9"/>
        <w:keepNext/>
        <w:ind w:firstLine="560"/>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6</w:t>
      </w:r>
      <w:r>
        <w:rPr>
          <w:color w:val="auto"/>
        </w:rPr>
        <w:fldChar w:fldCharType="end"/>
      </w:r>
      <w:r>
        <w:rPr>
          <w:color w:val="auto"/>
        </w:rPr>
        <w:t xml:space="preserve"> </w:t>
      </w:r>
      <w:r>
        <w:rPr>
          <w:rFonts w:hint="eastAsia"/>
          <w:color w:val="auto"/>
        </w:rPr>
        <w:t>2019年高新区医药制造业规上企业能耗情况（当量值）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9"/>
        <w:gridCol w:w="1404"/>
        <w:gridCol w:w="14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企业名称</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（万元）</w:t>
            </w:r>
          </w:p>
        </w:tc>
        <w:tc>
          <w:tcPr>
            <w:tcW w:w="8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湖北康进药业有限责任公司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w:t>
            </w:r>
          </w:p>
        </w:tc>
        <w:tc>
          <w:tcPr>
            <w:tcW w:w="833"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湖北福人金身药业有限公司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1680.84</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27888.7</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湖北绿雪生物产业有限公司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18.53</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637.69</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湖北吉斯生物科技有限公司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3.96</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6802</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杰士邦卫生用品有限公司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138.88</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73463.8</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金士达医疗（咸宁）有限公司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2418.15</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22375.7</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湖北五湖医疗器械有限公司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24.04</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4662</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小计</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4284.4</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135829.89</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0.0315</w:t>
            </w:r>
          </w:p>
        </w:tc>
      </w:tr>
    </w:tbl>
    <w:p>
      <w:pPr>
        <w:spacing w:line="240" w:lineRule="auto"/>
        <w:ind w:firstLine="0" w:firstLineChars="0"/>
        <w:rPr>
          <w:color w:val="auto"/>
        </w:rPr>
      </w:pPr>
    </w:p>
    <w:p>
      <w:pPr>
        <w:pStyle w:val="4"/>
        <w:ind w:firstLine="602"/>
        <w:rPr>
          <w:color w:val="auto"/>
        </w:rPr>
      </w:pPr>
      <w:bookmarkStart w:id="65" w:name="_Toc40625200"/>
      <w:r>
        <w:rPr>
          <w:color w:val="auto"/>
        </w:rPr>
        <w:t>6.2.6</w:t>
      </w:r>
      <w:r>
        <w:rPr>
          <w:rFonts w:hint="eastAsia"/>
          <w:color w:val="auto"/>
        </w:rPr>
        <w:t>造纸和纸制品业</w:t>
      </w:r>
      <w:bookmarkEnd w:id="65"/>
    </w:p>
    <w:p>
      <w:pPr>
        <w:ind w:firstLine="560"/>
        <w:rPr>
          <w:color w:val="auto"/>
        </w:rPr>
      </w:pPr>
      <w:r>
        <w:rPr>
          <w:rFonts w:hint="eastAsia"/>
          <w:color w:val="auto"/>
        </w:rPr>
        <w:t>造纸和纸制品业是咸宁高新区第六耗能行业，区内现有</w:t>
      </w:r>
      <w:r>
        <w:rPr>
          <w:color w:val="auto"/>
        </w:rPr>
        <w:t>1</w:t>
      </w:r>
      <w:r>
        <w:rPr>
          <w:rFonts w:hint="eastAsia"/>
          <w:color w:val="auto"/>
        </w:rPr>
        <w:t>家造纸和纸制品业规上企业，为湖北恒丰纸业有限公司，该</w:t>
      </w:r>
      <w:r>
        <w:rPr>
          <w:color w:val="auto"/>
        </w:rPr>
        <w:t>企业</w:t>
      </w:r>
      <w:r>
        <w:rPr>
          <w:rFonts w:hint="eastAsia"/>
          <w:color w:val="auto"/>
        </w:rPr>
        <w:t>主要</w:t>
      </w:r>
      <w:r>
        <w:rPr>
          <w:color w:val="auto"/>
        </w:rPr>
        <w:t>为卷烟</w:t>
      </w:r>
      <w:r>
        <w:rPr>
          <w:rFonts w:hint="eastAsia"/>
          <w:color w:val="auto"/>
        </w:rPr>
        <w:t>配套</w:t>
      </w:r>
      <w:r>
        <w:rPr>
          <w:color w:val="auto"/>
        </w:rPr>
        <w:t>生产</w:t>
      </w:r>
      <w:r>
        <w:rPr>
          <w:rFonts w:hint="eastAsia"/>
          <w:color w:val="auto"/>
        </w:rPr>
        <w:t>铝箔衬纸，由于</w:t>
      </w:r>
      <w:r>
        <w:rPr>
          <w:color w:val="auto"/>
        </w:rPr>
        <w:t>工艺</w:t>
      </w:r>
      <w:r>
        <w:rPr>
          <w:rFonts w:hint="eastAsia"/>
          <w:color w:val="auto"/>
        </w:rPr>
        <w:t>技术</w:t>
      </w:r>
      <w:r>
        <w:rPr>
          <w:color w:val="auto"/>
        </w:rPr>
        <w:t>要求</w:t>
      </w:r>
      <w:r>
        <w:rPr>
          <w:rFonts w:hint="eastAsia"/>
          <w:color w:val="auto"/>
        </w:rPr>
        <w:t>，</w:t>
      </w:r>
      <w:r>
        <w:rPr>
          <w:color w:val="auto"/>
        </w:rPr>
        <w:t>其单位产品能耗高于</w:t>
      </w:r>
      <w:r>
        <w:rPr>
          <w:rFonts w:hint="eastAsia"/>
          <w:color w:val="auto"/>
        </w:rPr>
        <w:t>常规</w:t>
      </w:r>
      <w:r>
        <w:rPr>
          <w:color w:val="auto"/>
        </w:rPr>
        <w:t>纸品</w:t>
      </w:r>
      <w:r>
        <w:rPr>
          <w:rFonts w:hint="eastAsia"/>
          <w:color w:val="auto"/>
        </w:rPr>
        <w:t>。</w:t>
      </w:r>
    </w:p>
    <w:p>
      <w:pPr>
        <w:ind w:firstLine="560"/>
        <w:rPr>
          <w:color w:val="auto"/>
        </w:rPr>
      </w:pPr>
      <w:r>
        <w:rPr>
          <w:rFonts w:hint="eastAsia"/>
          <w:color w:val="auto"/>
        </w:rPr>
        <w:t>2019年，区内相关企业能耗情况如下表所示：</w:t>
      </w:r>
    </w:p>
    <w:p>
      <w:pPr>
        <w:pStyle w:val="9"/>
        <w:keepNext/>
        <w:ind w:firstLine="560"/>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7</w:t>
      </w:r>
      <w:r>
        <w:rPr>
          <w:color w:val="auto"/>
        </w:rPr>
        <w:fldChar w:fldCharType="end"/>
      </w:r>
      <w:r>
        <w:rPr>
          <w:color w:val="auto"/>
        </w:rPr>
        <w:t xml:space="preserve"> </w:t>
      </w:r>
      <w:r>
        <w:rPr>
          <w:rFonts w:hint="eastAsia"/>
          <w:color w:val="auto"/>
        </w:rPr>
        <w:t>2019年高新区造纸和纸制品业规上企业能耗情况（当量值）</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9"/>
        <w:gridCol w:w="1404"/>
        <w:gridCol w:w="14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企业名称</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综合能耗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w:t>
            </w:r>
          </w:p>
        </w:tc>
        <w:tc>
          <w:tcPr>
            <w:tcW w:w="834"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工业产值</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（万元）</w:t>
            </w:r>
          </w:p>
        </w:tc>
        <w:tc>
          <w:tcPr>
            <w:tcW w:w="833" w:type="pct"/>
            <w:shd w:val="clear" w:color="auto" w:fill="auto"/>
            <w:noWrap/>
            <w:vAlign w:val="center"/>
          </w:tcPr>
          <w:p>
            <w:pPr>
              <w:widowControl/>
              <w:spacing w:line="240" w:lineRule="auto"/>
              <w:ind w:firstLine="0" w:firstLineChars="0"/>
              <w:jc w:val="center"/>
              <w:rPr>
                <w:rFonts w:eastAsiaTheme="minorEastAsia"/>
                <w:b/>
                <w:color w:val="auto"/>
                <w:kern w:val="0"/>
                <w:sz w:val="24"/>
                <w:szCs w:val="24"/>
              </w:rPr>
            </w:pPr>
            <w:r>
              <w:rPr>
                <w:rFonts w:hint="eastAsia" w:eastAsiaTheme="minorEastAsia"/>
                <w:b/>
                <w:color w:val="auto"/>
                <w:kern w:val="0"/>
                <w:sz w:val="24"/>
                <w:szCs w:val="24"/>
              </w:rPr>
              <w:t>单位能耗</w:t>
            </w:r>
          </w:p>
          <w:p>
            <w:pPr>
              <w:widowControl/>
              <w:spacing w:line="240" w:lineRule="auto"/>
              <w:ind w:firstLine="0" w:firstLineChars="0"/>
              <w:jc w:val="center"/>
              <w:rPr>
                <w:rFonts w:eastAsiaTheme="minorEastAsia"/>
                <w:color w:val="auto"/>
                <w:kern w:val="0"/>
                <w:sz w:val="24"/>
                <w:szCs w:val="24"/>
              </w:rPr>
            </w:pPr>
            <w:r>
              <w:rPr>
                <w:rFonts w:hint="eastAsia" w:eastAsiaTheme="minorEastAsia"/>
                <w:b/>
                <w:color w:val="auto"/>
                <w:kern w:val="0"/>
                <w:sz w:val="24"/>
                <w:szCs w:val="24"/>
              </w:rPr>
              <w:t>（tce/万元）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湖北恒丰纸业有限公司</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4204.64</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7712.8</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499" w:type="pct"/>
            <w:shd w:val="clear" w:color="auto" w:fill="auto"/>
            <w:noWrap/>
            <w:vAlign w:val="center"/>
          </w:tcPr>
          <w:p>
            <w:pPr>
              <w:widowControl/>
              <w:spacing w:line="240" w:lineRule="auto"/>
              <w:ind w:firstLine="0" w:firstLineChars="0"/>
              <w:jc w:val="center"/>
              <w:rPr>
                <w:color w:val="auto"/>
                <w:sz w:val="24"/>
                <w:szCs w:val="24"/>
              </w:rPr>
            </w:pPr>
            <w:r>
              <w:rPr>
                <w:rFonts w:hint="eastAsia"/>
                <w:color w:val="auto"/>
                <w:sz w:val="24"/>
                <w:szCs w:val="24"/>
              </w:rPr>
              <w:t>小计</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4204.64</w:t>
            </w:r>
          </w:p>
        </w:tc>
        <w:tc>
          <w:tcPr>
            <w:tcW w:w="834"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7712.8</w:t>
            </w:r>
          </w:p>
        </w:tc>
        <w:tc>
          <w:tcPr>
            <w:tcW w:w="833" w:type="pct"/>
            <w:shd w:val="clear" w:color="auto" w:fill="auto"/>
            <w:noWrap/>
            <w:vAlign w:val="center"/>
          </w:tcPr>
          <w:p>
            <w:pPr>
              <w:widowControl/>
              <w:spacing w:line="240" w:lineRule="auto"/>
              <w:ind w:firstLine="0" w:firstLineChars="0"/>
              <w:jc w:val="center"/>
              <w:rPr>
                <w:color w:val="auto"/>
                <w:sz w:val="24"/>
                <w:szCs w:val="24"/>
              </w:rPr>
            </w:pPr>
            <w:r>
              <w:rPr>
                <w:color w:val="auto"/>
                <w:sz w:val="24"/>
                <w:szCs w:val="24"/>
              </w:rPr>
              <w:t>0.5452</w:t>
            </w:r>
          </w:p>
        </w:tc>
      </w:tr>
    </w:tbl>
    <w:p>
      <w:pPr>
        <w:spacing w:line="240" w:lineRule="auto"/>
        <w:ind w:firstLine="560"/>
        <w:rPr>
          <w:color w:val="auto"/>
        </w:rPr>
      </w:pPr>
    </w:p>
    <w:p>
      <w:pPr>
        <w:pStyle w:val="3"/>
        <w:ind w:firstLine="643"/>
        <w:rPr>
          <w:color w:val="auto"/>
        </w:rPr>
      </w:pPr>
      <w:bookmarkStart w:id="66" w:name="_Toc40625201"/>
      <w:r>
        <w:rPr>
          <w:color w:val="auto"/>
        </w:rPr>
        <w:t>6.3</w:t>
      </w:r>
      <w:r>
        <w:rPr>
          <w:rFonts w:hint="eastAsia"/>
          <w:color w:val="auto"/>
        </w:rPr>
        <w:t>区域内负面清单的评价界定</w:t>
      </w:r>
      <w:bookmarkEnd w:id="66"/>
    </w:p>
    <w:p>
      <w:pPr>
        <w:ind w:firstLine="560"/>
        <w:rPr>
          <w:color w:val="auto"/>
        </w:rPr>
      </w:pPr>
      <w:r>
        <w:rPr>
          <w:rFonts w:hint="eastAsia"/>
          <w:color w:val="auto"/>
        </w:rPr>
        <w:t>以高耗能行业、国家确定的产能过剩行业、国家审批（核准）的政府（企业）投资项目等为基础，结合咸宁高新区“十三五”发展规划，科学评价界定高新区工业固定资产投资项目负面清单，具体如下：</w:t>
      </w:r>
    </w:p>
    <w:p>
      <w:pPr>
        <w:ind w:firstLine="560"/>
        <w:rPr>
          <w:color w:val="auto"/>
        </w:rPr>
      </w:pPr>
      <w:r>
        <w:rPr>
          <w:rFonts w:hint="eastAsia"/>
          <w:color w:val="auto"/>
        </w:rPr>
        <w:t>（1）六大高耗能行业</w:t>
      </w:r>
    </w:p>
    <w:p>
      <w:pPr>
        <w:ind w:firstLine="560"/>
        <w:rPr>
          <w:color w:val="auto"/>
        </w:rPr>
      </w:pPr>
      <w:r>
        <w:rPr>
          <w:rFonts w:hint="eastAsia"/>
          <w:color w:val="auto"/>
        </w:rPr>
        <w:t>电力热力的生产和供应业、石油加工炼焦及核燃料加工业、化学原料及化学制品制造业、有色金属冶炼及压延加工业、黑色金属冶炼及压延加工业、非金属矿物制品业等六大高耗能行业。</w:t>
      </w:r>
    </w:p>
    <w:p>
      <w:pPr>
        <w:ind w:firstLine="560"/>
        <w:rPr>
          <w:color w:val="auto"/>
        </w:rPr>
      </w:pPr>
      <w:r>
        <w:rPr>
          <w:rFonts w:hint="eastAsia"/>
          <w:color w:val="auto"/>
        </w:rPr>
        <w:t>（</w:t>
      </w:r>
      <w:r>
        <w:rPr>
          <w:color w:val="auto"/>
        </w:rPr>
        <w:t>2</w:t>
      </w:r>
      <w:r>
        <w:rPr>
          <w:rFonts w:hint="eastAsia"/>
          <w:color w:val="auto"/>
        </w:rPr>
        <w:t>）经济能效指标高于咸宁高新开发区控制目标的项目</w:t>
      </w:r>
    </w:p>
    <w:p>
      <w:pPr>
        <w:ind w:firstLine="560"/>
        <w:rPr>
          <w:color w:val="auto"/>
        </w:rPr>
      </w:pPr>
      <w:r>
        <w:rPr>
          <w:rFonts w:hint="eastAsia"/>
          <w:color w:val="auto"/>
        </w:rPr>
        <w:t>根据4.2节能源“双控”指标，咸宁</w:t>
      </w:r>
      <w:r>
        <w:rPr>
          <w:color w:val="auto"/>
        </w:rPr>
        <w:t>高新</w:t>
      </w:r>
      <w:r>
        <w:rPr>
          <w:rFonts w:hint="eastAsia"/>
          <w:color w:val="auto"/>
        </w:rPr>
        <w:t>开发区2</w:t>
      </w:r>
      <w:r>
        <w:rPr>
          <w:color w:val="auto"/>
        </w:rPr>
        <w:t>022</w:t>
      </w:r>
      <w:r>
        <w:rPr>
          <w:rFonts w:hint="eastAsia"/>
          <w:color w:val="auto"/>
        </w:rPr>
        <w:t>年单位工业产值能耗控制目标为</w:t>
      </w:r>
      <w:r>
        <w:rPr>
          <w:color w:val="auto"/>
        </w:rPr>
        <w:t>0.1165</w:t>
      </w:r>
      <w:r>
        <w:rPr>
          <w:rFonts w:hint="eastAsia"/>
          <w:color w:val="auto"/>
        </w:rPr>
        <w:t>吨标煤/万元（当量值），为确保完成上级下达的节能任务，此次将单位工业产值能耗</w:t>
      </w:r>
      <w:r>
        <w:rPr>
          <w:color w:val="auto"/>
        </w:rPr>
        <w:t>0.1165</w:t>
      </w:r>
      <w:r>
        <w:rPr>
          <w:rFonts w:hint="eastAsia"/>
          <w:color w:val="auto"/>
        </w:rPr>
        <w:t>吨标煤/万元（当量值）作为评估界定值，投资项目万元工业产值能耗高于界定值的列入负面清单。</w:t>
      </w:r>
    </w:p>
    <w:p>
      <w:pPr>
        <w:ind w:firstLine="560"/>
        <w:rPr>
          <w:color w:val="auto"/>
        </w:rPr>
      </w:pPr>
      <w:r>
        <w:rPr>
          <w:rFonts w:hint="eastAsia"/>
          <w:color w:val="auto"/>
        </w:rPr>
        <w:t>（</w:t>
      </w:r>
      <w:r>
        <w:rPr>
          <w:color w:val="auto"/>
        </w:rPr>
        <w:t>3</w:t>
      </w:r>
      <w:r>
        <w:rPr>
          <w:rFonts w:hint="eastAsia"/>
          <w:color w:val="auto"/>
        </w:rPr>
        <w:t>）非禁燃区范围内新增煤炭消费量的项目</w:t>
      </w:r>
    </w:p>
    <w:p>
      <w:pPr>
        <w:ind w:firstLine="560"/>
        <w:rPr>
          <w:color w:val="auto"/>
        </w:rPr>
      </w:pPr>
      <w:r>
        <w:rPr>
          <w:rFonts w:hint="eastAsia"/>
          <w:color w:val="auto"/>
        </w:rPr>
        <w:t>咸宁</w:t>
      </w:r>
      <w:r>
        <w:rPr>
          <w:color w:val="auto"/>
        </w:rPr>
        <w:t>高新区范围内，</w:t>
      </w:r>
      <w:r>
        <w:rPr>
          <w:rFonts w:hint="eastAsia"/>
          <w:color w:val="auto"/>
        </w:rPr>
        <w:t>在高污染燃料禁燃区范围内禁止新增煤炭消耗量的投资项目；非禁燃区范围内新增煤炭消耗量的投资项目列入负面清单。</w:t>
      </w:r>
    </w:p>
    <w:p>
      <w:pPr>
        <w:ind w:firstLine="560" w:firstLineChars="0"/>
        <w:rPr>
          <w:color w:val="auto"/>
        </w:rPr>
      </w:pPr>
      <w:r>
        <w:rPr>
          <w:rFonts w:hint="eastAsia"/>
          <w:color w:val="auto"/>
        </w:rPr>
        <w:t>（</w:t>
      </w:r>
      <w:r>
        <w:rPr>
          <w:color w:val="auto"/>
        </w:rPr>
        <w:t>4</w:t>
      </w:r>
      <w:r>
        <w:rPr>
          <w:rFonts w:hint="eastAsia"/>
          <w:color w:val="auto"/>
        </w:rPr>
        <w:t>）由省发展改革委负责节能审查或项目建设</w:t>
      </w:r>
      <w:r>
        <w:rPr>
          <w:color w:val="auto"/>
        </w:rPr>
        <w:t>单位</w:t>
      </w:r>
      <w:r>
        <w:rPr>
          <w:rFonts w:hint="eastAsia"/>
          <w:color w:val="auto"/>
        </w:rPr>
        <w:t>自愿进行节能审查的项目</w:t>
      </w:r>
    </w:p>
    <w:p>
      <w:pPr>
        <w:ind w:firstLine="560" w:firstLineChars="0"/>
        <w:rPr>
          <w:color w:val="auto"/>
        </w:rPr>
      </w:pPr>
      <w:r>
        <w:rPr>
          <w:rFonts w:hint="eastAsia"/>
          <w:color w:val="auto"/>
        </w:rPr>
        <w:t>年</w:t>
      </w:r>
      <w:r>
        <w:rPr>
          <w:color w:val="auto"/>
        </w:rPr>
        <w:t>能源消费量超过</w:t>
      </w:r>
      <w:r>
        <w:rPr>
          <w:rFonts w:hint="eastAsia"/>
          <w:color w:val="auto"/>
        </w:rPr>
        <w:t>5000吨</w:t>
      </w:r>
      <w:r>
        <w:rPr>
          <w:color w:val="auto"/>
        </w:rPr>
        <w:t>标煤</w:t>
      </w:r>
      <w:r>
        <w:rPr>
          <w:rFonts w:hint="eastAsia"/>
          <w:color w:val="auto"/>
        </w:rPr>
        <w:t>（当量值）而由省发展改革委负责节能审查的项目以及项目建设单位自愿进行节能审查的项目列入负面清单。</w:t>
      </w:r>
    </w:p>
    <w:p>
      <w:pPr>
        <w:ind w:firstLine="560"/>
        <w:rPr>
          <w:color w:val="auto"/>
        </w:rPr>
      </w:pPr>
      <w:r>
        <w:rPr>
          <w:rFonts w:hint="eastAsia"/>
          <w:color w:val="auto"/>
        </w:rPr>
        <w:t>综上所述，投资项目符合上述评估界定中的一类，则纳入负面清单。对负面清单外的项目实行承诺备案管理，负面清单内的项目执行现有固定资产投资项目节能评估审查制度。</w:t>
      </w:r>
    </w:p>
    <w:p>
      <w:pPr>
        <w:pStyle w:val="3"/>
        <w:ind w:firstLine="643"/>
        <w:rPr>
          <w:color w:val="auto"/>
        </w:rPr>
      </w:pPr>
      <w:bookmarkStart w:id="67" w:name="_Toc40625202"/>
      <w:r>
        <w:rPr>
          <w:color w:val="auto"/>
        </w:rPr>
        <w:t>6.4</w:t>
      </w:r>
      <w:r>
        <w:rPr>
          <w:rFonts w:hint="eastAsia"/>
          <w:color w:val="auto"/>
        </w:rPr>
        <w:t>区域内负面清单信息汇总</w:t>
      </w:r>
      <w:bookmarkEnd w:id="67"/>
    </w:p>
    <w:p>
      <w:pPr>
        <w:ind w:firstLine="560"/>
        <w:rPr>
          <w:color w:val="auto"/>
        </w:rPr>
      </w:pPr>
      <w:r>
        <w:rPr>
          <w:rFonts w:hint="eastAsia"/>
          <w:color w:val="auto"/>
        </w:rPr>
        <w:t>依据评价界定值，对咸宁高新</w:t>
      </w:r>
      <w:r>
        <w:rPr>
          <w:color w:val="auto"/>
        </w:rPr>
        <w:t>开发区</w:t>
      </w:r>
      <w:r>
        <w:rPr>
          <w:rFonts w:hint="eastAsia"/>
          <w:color w:val="auto"/>
        </w:rPr>
        <w:t>工业固定资产投资项目建立负面清单，负面清单以内为重点行业，其余为一般行业。咸宁高新</w:t>
      </w:r>
      <w:r>
        <w:rPr>
          <w:color w:val="auto"/>
        </w:rPr>
        <w:t>开发区</w:t>
      </w:r>
      <w:r>
        <w:rPr>
          <w:rFonts w:hint="eastAsia"/>
          <w:color w:val="auto"/>
        </w:rPr>
        <w:t>区域能评负面清单信息汇总见下表。</w:t>
      </w:r>
      <w:r>
        <w:rPr>
          <w:color w:val="auto"/>
        </w:rPr>
        <w:br w:type="page"/>
      </w: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8</w:t>
      </w:r>
      <w:r>
        <w:rPr>
          <w:color w:val="auto"/>
        </w:rPr>
        <w:fldChar w:fldCharType="end"/>
      </w:r>
      <w:r>
        <w:rPr>
          <w:color w:val="auto"/>
        </w:rPr>
        <w:t xml:space="preserve"> </w:t>
      </w:r>
      <w:r>
        <w:rPr>
          <w:rFonts w:hint="eastAsia"/>
          <w:color w:val="auto"/>
        </w:rPr>
        <w:t>咸宁高新开发区负面清单汇总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56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
                <w:bCs/>
                <w:sz w:val="24"/>
                <w:szCs w:val="24"/>
              </w:rPr>
            </w:pPr>
            <w:r>
              <w:rPr>
                <w:rFonts w:ascii="Times New Roman" w:hAnsi="Times New Roman" w:eastAsiaTheme="minorEastAsia"/>
                <w:b/>
                <w:bCs/>
                <w:sz w:val="24"/>
                <w:szCs w:val="24"/>
              </w:rPr>
              <w:t>序号</w:t>
            </w:r>
          </w:p>
        </w:tc>
        <w:tc>
          <w:tcPr>
            <w:tcW w:w="6768" w:type="dxa"/>
            <w:tcMar>
              <w:top w:w="15" w:type="dxa"/>
              <w:left w:w="15" w:type="dxa"/>
              <w:right w:w="15" w:type="dxa"/>
            </w:tcMar>
            <w:vAlign w:val="center"/>
          </w:tcPr>
          <w:p>
            <w:pPr>
              <w:pStyle w:val="61"/>
              <w:jc w:val="center"/>
              <w:rPr>
                <w:rFonts w:ascii="Times New Roman" w:hAnsi="Times New Roman" w:eastAsiaTheme="minorEastAsia"/>
                <w:b/>
                <w:bCs/>
                <w:sz w:val="24"/>
                <w:szCs w:val="24"/>
              </w:rPr>
            </w:pPr>
            <w:r>
              <w:rPr>
                <w:rFonts w:ascii="Times New Roman" w:hAnsi="Times New Roman" w:eastAsiaTheme="minorEastAsia"/>
                <w:b/>
                <w:bCs/>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第一类</w:t>
            </w:r>
          </w:p>
        </w:tc>
        <w:tc>
          <w:tcPr>
            <w:tcW w:w="6768" w:type="dxa"/>
            <w:tcMar>
              <w:top w:w="15" w:type="dxa"/>
              <w:left w:w="15" w:type="dxa"/>
              <w:right w:w="15" w:type="dxa"/>
            </w:tcMar>
            <w:vAlign w:val="center"/>
          </w:tcPr>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六大高耗能行业：</w:t>
            </w:r>
          </w:p>
          <w:p>
            <w:pPr>
              <w:pStyle w:val="61"/>
              <w:numPr>
                <w:ilvl w:val="0"/>
                <w:numId w:val="6"/>
              </w:numPr>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电力热力的生产和供应业</w:t>
            </w:r>
          </w:p>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（2）石油加工炼焦及核燃料加工业</w:t>
            </w:r>
          </w:p>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（3）化学原料及化学制品制造业</w:t>
            </w:r>
          </w:p>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（4）有色金属冶炼及压延加工业</w:t>
            </w:r>
          </w:p>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（5）黑色金属冶炼及压延加工业</w:t>
            </w:r>
          </w:p>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（6）非金属矿物制品业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w:t>
            </w:r>
            <w:r>
              <w:rPr>
                <w:rFonts w:hint="eastAsia" w:ascii="Times New Roman" w:hAnsi="Times New Roman" w:eastAsiaTheme="minorEastAsia"/>
                <w:bCs/>
                <w:sz w:val="24"/>
                <w:szCs w:val="24"/>
              </w:rPr>
              <w:t>二</w:t>
            </w:r>
            <w:r>
              <w:rPr>
                <w:rFonts w:ascii="Times New Roman" w:hAnsi="Times New Roman" w:eastAsiaTheme="minorEastAsia"/>
                <w:bCs/>
                <w:sz w:val="24"/>
                <w:szCs w:val="24"/>
              </w:rPr>
              <w:t>类</w:t>
            </w:r>
          </w:p>
        </w:tc>
        <w:tc>
          <w:tcPr>
            <w:tcW w:w="6768" w:type="dxa"/>
            <w:tcMar>
              <w:top w:w="15" w:type="dxa"/>
              <w:left w:w="15" w:type="dxa"/>
              <w:right w:w="15" w:type="dxa"/>
            </w:tcMar>
            <w:vAlign w:val="center"/>
          </w:tcPr>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投资项目单位工业产值能耗高于0.1165</w:t>
            </w:r>
            <w:r>
              <w:rPr>
                <w:rFonts w:hint="eastAsia" w:ascii="Times New Roman" w:hAnsi="Times New Roman" w:eastAsiaTheme="minorEastAsia"/>
                <w:bCs/>
                <w:sz w:val="24"/>
                <w:szCs w:val="24"/>
              </w:rPr>
              <w:t>吨标煤/万元（当量值）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color w:val="auto"/>
                <w:sz w:val="24"/>
                <w:szCs w:val="24"/>
              </w:rPr>
            </w:pPr>
            <w:r>
              <w:rPr>
                <w:rFonts w:ascii="Times New Roman" w:hAnsi="Times New Roman" w:eastAsiaTheme="minorEastAsia"/>
                <w:bCs/>
                <w:color w:val="auto"/>
                <w:sz w:val="24"/>
                <w:szCs w:val="24"/>
              </w:rPr>
              <w:t>第</w:t>
            </w:r>
            <w:r>
              <w:rPr>
                <w:rFonts w:hint="eastAsia" w:ascii="Times New Roman" w:hAnsi="Times New Roman" w:eastAsiaTheme="minorEastAsia"/>
                <w:bCs/>
                <w:color w:val="auto"/>
                <w:sz w:val="24"/>
                <w:szCs w:val="24"/>
              </w:rPr>
              <w:t>三</w:t>
            </w:r>
            <w:r>
              <w:rPr>
                <w:rFonts w:ascii="Times New Roman" w:hAnsi="Times New Roman" w:eastAsiaTheme="minorEastAsia"/>
                <w:bCs/>
                <w:color w:val="auto"/>
                <w:sz w:val="24"/>
                <w:szCs w:val="24"/>
              </w:rPr>
              <w:t>类</w:t>
            </w:r>
          </w:p>
        </w:tc>
        <w:tc>
          <w:tcPr>
            <w:tcW w:w="6768" w:type="dxa"/>
            <w:tcMar>
              <w:top w:w="15" w:type="dxa"/>
              <w:left w:w="15" w:type="dxa"/>
              <w:right w:w="15" w:type="dxa"/>
            </w:tcMar>
            <w:vAlign w:val="center"/>
          </w:tcPr>
          <w:p>
            <w:pPr>
              <w:pStyle w:val="61"/>
              <w:spacing w:line="288" w:lineRule="auto"/>
              <w:rPr>
                <w:rFonts w:ascii="Times New Roman" w:hAnsi="Times New Roman" w:eastAsiaTheme="minorEastAsia"/>
                <w:bCs/>
                <w:color w:val="auto"/>
                <w:sz w:val="24"/>
                <w:szCs w:val="24"/>
              </w:rPr>
            </w:pPr>
            <w:r>
              <w:rPr>
                <w:rFonts w:hint="eastAsia" w:ascii="Times New Roman" w:hAnsi="Times New Roman" w:eastAsiaTheme="minorEastAsia"/>
                <w:bCs/>
                <w:color w:val="auto"/>
                <w:sz w:val="24"/>
                <w:szCs w:val="24"/>
              </w:rPr>
              <w:t>禁燃区范围内禁止新增煤炭消耗量的投资项目；非禁燃区范围内新增煤炭消耗量的投资项目列入负面清单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w:t>
            </w:r>
            <w:r>
              <w:rPr>
                <w:rFonts w:hint="eastAsia" w:ascii="Times New Roman" w:hAnsi="Times New Roman" w:eastAsiaTheme="minorEastAsia"/>
                <w:bCs/>
                <w:sz w:val="24"/>
                <w:szCs w:val="24"/>
              </w:rPr>
              <w:t>四</w:t>
            </w:r>
            <w:r>
              <w:rPr>
                <w:rFonts w:ascii="Times New Roman" w:hAnsi="Times New Roman" w:eastAsiaTheme="minorEastAsia"/>
                <w:bCs/>
                <w:sz w:val="24"/>
                <w:szCs w:val="24"/>
              </w:rPr>
              <w:t>类</w:t>
            </w:r>
          </w:p>
        </w:tc>
        <w:tc>
          <w:tcPr>
            <w:tcW w:w="6768" w:type="dxa"/>
            <w:tcMar>
              <w:top w:w="15" w:type="dxa"/>
              <w:left w:w="15" w:type="dxa"/>
              <w:right w:w="15" w:type="dxa"/>
            </w:tcMar>
            <w:vAlign w:val="center"/>
          </w:tcPr>
          <w:p>
            <w:pPr>
              <w:pStyle w:val="61"/>
              <w:spacing w:line="288" w:lineRule="auto"/>
              <w:rPr>
                <w:rFonts w:ascii="Times New Roman" w:hAnsi="Times New Roman" w:eastAsiaTheme="minorEastAsia"/>
                <w:bCs/>
                <w:sz w:val="24"/>
                <w:szCs w:val="24"/>
              </w:rPr>
            </w:pPr>
            <w:r>
              <w:rPr>
                <w:rFonts w:ascii="Times New Roman" w:hAnsi="Times New Roman" w:eastAsiaTheme="minorEastAsia"/>
                <w:bCs/>
                <w:sz w:val="24"/>
                <w:szCs w:val="24"/>
              </w:rPr>
              <w:t>（1）</w:t>
            </w:r>
            <w:r>
              <w:rPr>
                <w:rFonts w:hint="eastAsia" w:ascii="Times New Roman" w:hAnsi="Times New Roman" w:eastAsiaTheme="minorEastAsia"/>
                <w:bCs/>
                <w:sz w:val="24"/>
                <w:szCs w:val="24"/>
              </w:rPr>
              <w:t>由省发展改革委负责节能审查的项目（年能源消费量超过5000吨标煤（当量值））</w:t>
            </w:r>
            <w:r>
              <w:rPr>
                <w:rFonts w:ascii="Times New Roman" w:hAnsi="Times New Roman" w:eastAsiaTheme="minorEastAsia"/>
                <w:bCs/>
                <w:sz w:val="24"/>
                <w:szCs w:val="24"/>
              </w:rPr>
              <w:br w:type="textWrapping"/>
            </w:r>
            <w:r>
              <w:rPr>
                <w:rFonts w:ascii="Times New Roman" w:hAnsi="Times New Roman" w:eastAsiaTheme="minorEastAsia"/>
                <w:bCs/>
                <w:sz w:val="24"/>
                <w:szCs w:val="24"/>
              </w:rPr>
              <w:t>（2）企业自愿要求开展节能评价审查的项目</w:t>
            </w:r>
          </w:p>
        </w:tc>
      </w:tr>
    </w:tbl>
    <w:p>
      <w:pPr>
        <w:spacing w:line="240" w:lineRule="auto"/>
        <w:ind w:firstLine="0" w:firstLineChars="0"/>
        <w:rPr>
          <w:color w:val="auto"/>
          <w:sz w:val="21"/>
        </w:rPr>
      </w:pPr>
    </w:p>
    <w:p>
      <w:pPr>
        <w:ind w:firstLine="560"/>
        <w:rPr>
          <w:color w:val="auto"/>
        </w:rPr>
      </w:pPr>
      <w:r>
        <w:rPr>
          <w:rFonts w:hint="eastAsia"/>
          <w:color w:val="auto"/>
        </w:rPr>
        <w:t>通过简化审批环节和优化审批流程，对一般项目实行承诺备案管理（节能承诺备案表见附件一），以政府服务代替企业办事，全面提高能评审批效率，不断优化发展环境。</w:t>
      </w:r>
    </w:p>
    <w:p>
      <w:pPr>
        <w:pStyle w:val="3"/>
        <w:ind w:firstLine="643"/>
        <w:rPr>
          <w:color w:val="auto"/>
        </w:rPr>
      </w:pPr>
      <w:bookmarkStart w:id="68" w:name="_Toc40625203"/>
      <w:r>
        <w:rPr>
          <w:rFonts w:hint="eastAsia"/>
          <w:color w:val="auto"/>
        </w:rPr>
        <w:t>6.5区域内主要行业单位产品能效控制指标汇总</w:t>
      </w:r>
      <w:bookmarkEnd w:id="68"/>
    </w:p>
    <w:p>
      <w:pPr>
        <w:ind w:firstLine="560"/>
        <w:rPr>
          <w:color w:val="auto"/>
        </w:rPr>
      </w:pPr>
      <w:r>
        <w:rPr>
          <w:rFonts w:hint="eastAsia"/>
          <w:color w:val="auto"/>
        </w:rPr>
        <w:t>咸宁国家高新技术产业开发区暂未针对</w:t>
      </w:r>
      <w:r>
        <w:rPr>
          <w:color w:val="auto"/>
        </w:rPr>
        <w:t>自身产业发展</w:t>
      </w:r>
      <w:r>
        <w:rPr>
          <w:rFonts w:hint="eastAsia"/>
          <w:color w:val="auto"/>
        </w:rPr>
        <w:t>制定相关能源</w:t>
      </w:r>
      <w:r>
        <w:rPr>
          <w:color w:val="auto"/>
        </w:rPr>
        <w:t>限额标准</w:t>
      </w:r>
      <w:r>
        <w:rPr>
          <w:rFonts w:hint="eastAsia"/>
          <w:color w:val="auto"/>
        </w:rPr>
        <w:t>，本报告结合《上海产业能效指南（2018年版）》和国家及先进省市已颁布实施的相关</w:t>
      </w:r>
      <w:r>
        <w:rPr>
          <w:color w:val="auto"/>
        </w:rPr>
        <w:t>产业</w:t>
      </w:r>
      <w:r>
        <w:rPr>
          <w:rFonts w:hint="eastAsia"/>
          <w:color w:val="auto"/>
        </w:rPr>
        <w:t>能效标准，列出</w:t>
      </w:r>
      <w:r>
        <w:rPr>
          <w:color w:val="auto"/>
        </w:rPr>
        <w:t>高新区</w:t>
      </w:r>
      <w:r>
        <w:rPr>
          <w:rFonts w:hint="eastAsia"/>
          <w:color w:val="auto"/>
        </w:rPr>
        <w:t>现有</w:t>
      </w:r>
      <w:r>
        <w:rPr>
          <w:color w:val="auto"/>
        </w:rPr>
        <w:t>及规划</w:t>
      </w:r>
      <w:r>
        <w:rPr>
          <w:rFonts w:hint="eastAsia"/>
          <w:color w:val="auto"/>
        </w:rPr>
        <w:t>重点</w:t>
      </w:r>
      <w:r>
        <w:rPr>
          <w:color w:val="auto"/>
        </w:rPr>
        <w:t>行业产品的</w:t>
      </w:r>
      <w:r>
        <w:rPr>
          <w:rFonts w:hint="eastAsia"/>
          <w:color w:val="auto"/>
        </w:rPr>
        <w:t>单位产品能效控制指标以供参考</w:t>
      </w:r>
      <w:r>
        <w:rPr>
          <w:color w:val="auto"/>
        </w:rPr>
        <w:t>，</w:t>
      </w:r>
      <w:r>
        <w:rPr>
          <w:rFonts w:hint="eastAsia"/>
          <w:color w:val="auto"/>
        </w:rPr>
        <w:t>今后在具体的节能管理过程中，可根据行业特点制定咸宁国家高新技术产业开发区相关能耗</w:t>
      </w:r>
      <w:r>
        <w:rPr>
          <w:color w:val="auto"/>
        </w:rPr>
        <w:t>限额</w:t>
      </w:r>
      <w:r>
        <w:rPr>
          <w:rFonts w:hint="eastAsia"/>
          <w:color w:val="auto"/>
        </w:rPr>
        <w:t>标准。</w:t>
      </w:r>
    </w:p>
    <w:p>
      <w:pPr>
        <w:ind w:firstLine="560"/>
        <w:rPr>
          <w:color w:val="auto"/>
        </w:rPr>
        <w:sectPr>
          <w:pgSz w:w="11906" w:h="16838"/>
          <w:pgMar w:top="1440" w:right="1800" w:bottom="1440" w:left="1800" w:header="850" w:footer="992" w:gutter="0"/>
          <w:cols w:space="425" w:num="1"/>
          <w:docGrid w:type="lines" w:linePitch="381" w:charSpace="0"/>
        </w:sectPr>
      </w:pPr>
    </w:p>
    <w:p>
      <w:pPr>
        <w:pStyle w:val="9"/>
        <w:keepNext/>
        <w:rPr>
          <w:color w:val="auto"/>
        </w:rPr>
      </w:pPr>
      <w:r>
        <w:rPr>
          <w:rFonts w:hint="eastAsia"/>
          <w:color w:val="auto"/>
        </w:rPr>
        <w:t xml:space="preserve">表6- </w:t>
      </w:r>
      <w:r>
        <w:rPr>
          <w:color w:val="auto"/>
        </w:rPr>
        <w:fldChar w:fldCharType="begin"/>
      </w:r>
      <w:r>
        <w:rPr>
          <w:color w:val="auto"/>
        </w:rPr>
        <w:instrText xml:space="preserve"> </w:instrText>
      </w:r>
      <w:r>
        <w:rPr>
          <w:rFonts w:hint="eastAsia"/>
          <w:color w:val="auto"/>
        </w:rPr>
        <w:instrText xml:space="preserve">SEQ 表6- \* ARABIC</w:instrText>
      </w:r>
      <w:r>
        <w:rPr>
          <w:color w:val="auto"/>
        </w:rPr>
        <w:instrText xml:space="preserve"> </w:instrText>
      </w:r>
      <w:r>
        <w:rPr>
          <w:color w:val="auto"/>
        </w:rPr>
        <w:fldChar w:fldCharType="separate"/>
      </w:r>
      <w:r>
        <w:rPr>
          <w:color w:val="auto"/>
        </w:rPr>
        <w:t>9</w:t>
      </w:r>
      <w:r>
        <w:rPr>
          <w:color w:val="auto"/>
        </w:rPr>
        <w:fldChar w:fldCharType="end"/>
      </w:r>
      <w:r>
        <w:rPr>
          <w:color w:val="auto"/>
        </w:rPr>
        <w:t xml:space="preserve"> </w:t>
      </w:r>
      <w:r>
        <w:rPr>
          <w:rFonts w:hint="eastAsia"/>
          <w:color w:val="auto"/>
        </w:rPr>
        <w:t>产品单耗限额准入值</w:t>
      </w:r>
    </w:p>
    <w:tbl>
      <w:tblPr>
        <w:tblStyle w:val="24"/>
        <w:tblW w:w="5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2"/>
        <w:gridCol w:w="1817"/>
        <w:gridCol w:w="2295"/>
        <w:gridCol w:w="1182"/>
        <w:gridCol w:w="1182"/>
        <w:gridCol w:w="1182"/>
        <w:gridCol w:w="1368"/>
        <w:gridCol w:w="169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256" w:type="pct"/>
            <w:vAlign w:val="center"/>
          </w:tcPr>
          <w:p>
            <w:pPr>
              <w:spacing w:line="240" w:lineRule="auto"/>
              <w:ind w:firstLine="0" w:firstLineChars="0"/>
              <w:jc w:val="center"/>
              <w:rPr>
                <w:b/>
                <w:color w:val="auto"/>
                <w:sz w:val="24"/>
              </w:rPr>
            </w:pPr>
            <w:r>
              <w:rPr>
                <w:rFonts w:hint="eastAsia"/>
                <w:b/>
                <w:color w:val="auto"/>
                <w:sz w:val="24"/>
              </w:rPr>
              <w:t>序号</w:t>
            </w:r>
          </w:p>
        </w:tc>
        <w:tc>
          <w:tcPr>
            <w:tcW w:w="627" w:type="pct"/>
            <w:vAlign w:val="center"/>
          </w:tcPr>
          <w:p>
            <w:pPr>
              <w:spacing w:line="240" w:lineRule="auto"/>
              <w:ind w:firstLine="0" w:firstLineChars="0"/>
              <w:jc w:val="center"/>
              <w:rPr>
                <w:b/>
                <w:color w:val="auto"/>
                <w:sz w:val="24"/>
              </w:rPr>
            </w:pPr>
            <w:r>
              <w:rPr>
                <w:rFonts w:hint="eastAsia"/>
                <w:b/>
                <w:color w:val="auto"/>
                <w:sz w:val="24"/>
              </w:rPr>
              <w:t>产品</w:t>
            </w:r>
          </w:p>
        </w:tc>
        <w:tc>
          <w:tcPr>
            <w:tcW w:w="792" w:type="pct"/>
            <w:vAlign w:val="center"/>
          </w:tcPr>
          <w:p>
            <w:pPr>
              <w:spacing w:line="240" w:lineRule="auto"/>
              <w:ind w:firstLine="0" w:firstLineChars="0"/>
              <w:jc w:val="center"/>
              <w:rPr>
                <w:b/>
                <w:color w:val="auto"/>
                <w:sz w:val="24"/>
              </w:rPr>
            </w:pPr>
            <w:r>
              <w:rPr>
                <w:rFonts w:hint="eastAsia"/>
                <w:b/>
                <w:color w:val="auto"/>
                <w:sz w:val="24"/>
              </w:rPr>
              <w:t>指标</w:t>
            </w:r>
            <w:r>
              <w:rPr>
                <w:b/>
                <w:color w:val="auto"/>
                <w:sz w:val="24"/>
              </w:rPr>
              <w:t>名称</w:t>
            </w:r>
          </w:p>
        </w:tc>
        <w:tc>
          <w:tcPr>
            <w:tcW w:w="408" w:type="pct"/>
            <w:vAlign w:val="center"/>
          </w:tcPr>
          <w:p>
            <w:pPr>
              <w:spacing w:line="240" w:lineRule="auto"/>
              <w:ind w:firstLine="0" w:firstLineChars="0"/>
              <w:jc w:val="center"/>
              <w:rPr>
                <w:b/>
                <w:color w:val="auto"/>
                <w:sz w:val="24"/>
              </w:rPr>
            </w:pPr>
            <w:r>
              <w:rPr>
                <w:rFonts w:hint="eastAsia"/>
                <w:b/>
                <w:color w:val="auto"/>
                <w:sz w:val="24"/>
              </w:rPr>
              <w:t>限定值</w:t>
            </w:r>
          </w:p>
        </w:tc>
        <w:tc>
          <w:tcPr>
            <w:tcW w:w="408" w:type="pct"/>
            <w:vAlign w:val="center"/>
          </w:tcPr>
          <w:p>
            <w:pPr>
              <w:spacing w:line="240" w:lineRule="auto"/>
              <w:ind w:firstLine="0" w:firstLineChars="0"/>
              <w:jc w:val="center"/>
              <w:rPr>
                <w:b/>
                <w:color w:val="auto"/>
                <w:sz w:val="24"/>
              </w:rPr>
            </w:pPr>
            <w:r>
              <w:rPr>
                <w:rFonts w:hint="eastAsia"/>
                <w:b/>
                <w:color w:val="auto"/>
                <w:sz w:val="24"/>
              </w:rPr>
              <w:t>准入值</w:t>
            </w:r>
          </w:p>
        </w:tc>
        <w:tc>
          <w:tcPr>
            <w:tcW w:w="408" w:type="pct"/>
            <w:vAlign w:val="center"/>
          </w:tcPr>
          <w:p>
            <w:pPr>
              <w:spacing w:line="240" w:lineRule="auto"/>
              <w:ind w:firstLine="0" w:firstLineChars="0"/>
              <w:jc w:val="center"/>
              <w:rPr>
                <w:b/>
                <w:color w:val="auto"/>
                <w:sz w:val="24"/>
              </w:rPr>
            </w:pPr>
            <w:r>
              <w:rPr>
                <w:rFonts w:hint="eastAsia"/>
                <w:b/>
                <w:color w:val="auto"/>
                <w:sz w:val="24"/>
              </w:rPr>
              <w:t>先进</w:t>
            </w:r>
            <w:r>
              <w:rPr>
                <w:b/>
                <w:color w:val="auto"/>
                <w:sz w:val="24"/>
              </w:rPr>
              <w:t>值</w:t>
            </w:r>
          </w:p>
        </w:tc>
        <w:tc>
          <w:tcPr>
            <w:tcW w:w="1057" w:type="pct"/>
            <w:gridSpan w:val="2"/>
            <w:vAlign w:val="center"/>
          </w:tcPr>
          <w:p>
            <w:pPr>
              <w:spacing w:line="240" w:lineRule="auto"/>
              <w:ind w:firstLine="0" w:firstLineChars="0"/>
              <w:jc w:val="center"/>
              <w:rPr>
                <w:b/>
                <w:color w:val="auto"/>
                <w:sz w:val="24"/>
              </w:rPr>
            </w:pPr>
            <w:r>
              <w:rPr>
                <w:rFonts w:hint="eastAsia"/>
                <w:b/>
                <w:color w:val="auto"/>
                <w:sz w:val="24"/>
              </w:rPr>
              <w:t>适用条件</w:t>
            </w:r>
          </w:p>
        </w:tc>
        <w:tc>
          <w:tcPr>
            <w:tcW w:w="1044" w:type="pct"/>
            <w:vAlign w:val="center"/>
          </w:tcPr>
          <w:p>
            <w:pPr>
              <w:spacing w:line="240" w:lineRule="auto"/>
              <w:ind w:firstLine="0" w:firstLineChars="0"/>
              <w:jc w:val="center"/>
              <w:rPr>
                <w:b/>
                <w:color w:val="auto"/>
                <w:sz w:val="24"/>
              </w:rPr>
            </w:pPr>
            <w:r>
              <w:rPr>
                <w:rFonts w:hint="eastAsia"/>
                <w:b/>
                <w:color w:val="auto"/>
                <w:sz w:val="24"/>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rFonts w:hint="eastAsia"/>
                <w:color w:val="auto"/>
                <w:sz w:val="24"/>
              </w:rPr>
              <w:t>1</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平板玻璃</w:t>
            </w:r>
          </w:p>
        </w:tc>
        <w:tc>
          <w:tcPr>
            <w:tcW w:w="792" w:type="pct"/>
            <w:vMerge w:val="restart"/>
            <w:vAlign w:val="center"/>
          </w:tcPr>
          <w:p>
            <w:pPr>
              <w:spacing w:line="240" w:lineRule="auto"/>
              <w:ind w:firstLine="0" w:firstLineChars="0"/>
              <w:jc w:val="center"/>
              <w:rPr>
                <w:color w:val="auto"/>
                <w:sz w:val="24"/>
              </w:rPr>
            </w:pPr>
            <w:r>
              <w:rPr>
                <w:rFonts w:hint="eastAsia"/>
                <w:color w:val="auto"/>
                <w:sz w:val="24"/>
              </w:rPr>
              <w:t>单位产品能耗</w:t>
            </w:r>
          </w:p>
          <w:p>
            <w:pPr>
              <w:spacing w:line="240" w:lineRule="auto"/>
              <w:ind w:firstLine="0" w:firstLineChars="0"/>
              <w:jc w:val="center"/>
              <w:rPr>
                <w:color w:val="auto"/>
                <w:sz w:val="24"/>
              </w:rPr>
            </w:pPr>
            <w:r>
              <w:rPr>
                <w:rFonts w:hint="eastAsia"/>
                <w:color w:val="auto"/>
                <w:sz w:val="24"/>
              </w:rPr>
              <w:t>（kgce/重量箱）</w:t>
            </w:r>
          </w:p>
        </w:tc>
        <w:tc>
          <w:tcPr>
            <w:tcW w:w="408" w:type="pct"/>
            <w:vAlign w:val="center"/>
          </w:tcPr>
          <w:p>
            <w:pPr>
              <w:spacing w:line="240" w:lineRule="auto"/>
              <w:ind w:firstLine="0" w:firstLineChars="0"/>
              <w:jc w:val="center"/>
              <w:rPr>
                <w:color w:val="auto"/>
                <w:sz w:val="24"/>
              </w:rPr>
            </w:pPr>
            <w:r>
              <w:rPr>
                <w:rFonts w:hint="eastAsia"/>
                <w:color w:val="auto"/>
                <w:sz w:val="24"/>
              </w:rPr>
              <w:t>13.5</w:t>
            </w:r>
          </w:p>
        </w:tc>
        <w:tc>
          <w:tcPr>
            <w:tcW w:w="408" w:type="pct"/>
            <w:vAlign w:val="center"/>
          </w:tcPr>
          <w:p>
            <w:pPr>
              <w:spacing w:line="240" w:lineRule="auto"/>
              <w:ind w:firstLine="0" w:firstLineChars="0"/>
              <w:jc w:val="center"/>
              <w:rPr>
                <w:color w:val="auto"/>
                <w:sz w:val="24"/>
              </w:rPr>
            </w:pPr>
            <w:r>
              <w:rPr>
                <w:rFonts w:hint="eastAsia"/>
                <w:color w:val="auto"/>
                <w:sz w:val="24"/>
              </w:rPr>
              <w:t>11.</w:t>
            </w:r>
            <w:r>
              <w:rPr>
                <w:color w:val="auto"/>
                <w:sz w:val="24"/>
              </w:rPr>
              <w:t>5</w:t>
            </w:r>
          </w:p>
        </w:tc>
        <w:tc>
          <w:tcPr>
            <w:tcW w:w="408" w:type="pct"/>
            <w:vAlign w:val="center"/>
          </w:tcPr>
          <w:p>
            <w:pPr>
              <w:spacing w:line="240" w:lineRule="auto"/>
              <w:ind w:firstLine="0" w:firstLineChars="0"/>
              <w:jc w:val="center"/>
              <w:rPr>
                <w:color w:val="auto"/>
                <w:sz w:val="24"/>
              </w:rPr>
            </w:pPr>
            <w:r>
              <w:rPr>
                <w:rFonts w:hint="eastAsia"/>
                <w:color w:val="auto"/>
                <w:sz w:val="24"/>
              </w:rPr>
              <w:t>9.5</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生产线</w:t>
            </w:r>
            <w:r>
              <w:rPr>
                <w:color w:val="auto"/>
                <w:sz w:val="24"/>
              </w:rPr>
              <w:t>设计</w:t>
            </w:r>
          </w:p>
          <w:p>
            <w:pPr>
              <w:spacing w:line="240" w:lineRule="auto"/>
              <w:ind w:firstLine="0" w:firstLineChars="0"/>
              <w:jc w:val="center"/>
              <w:rPr>
                <w:color w:val="auto"/>
                <w:sz w:val="24"/>
              </w:rPr>
            </w:pPr>
            <w:r>
              <w:rPr>
                <w:color w:val="auto"/>
                <w:sz w:val="24"/>
              </w:rPr>
              <w:t>能力</w:t>
            </w:r>
            <w:r>
              <w:rPr>
                <w:rFonts w:hint="eastAsia"/>
                <w:color w:val="auto"/>
                <w:sz w:val="24"/>
              </w:rPr>
              <w:t>（t</w:t>
            </w:r>
            <w:r>
              <w:rPr>
                <w:color w:val="auto"/>
                <w:sz w:val="24"/>
              </w:rPr>
              <w:t>/d</w:t>
            </w:r>
            <w:r>
              <w:rPr>
                <w:rFonts w:hint="eastAsia"/>
                <w:color w:val="auto"/>
                <w:sz w:val="24"/>
              </w:rPr>
              <w:t>）</w:t>
            </w:r>
          </w:p>
        </w:tc>
        <w:tc>
          <w:tcPr>
            <w:tcW w:w="585" w:type="pct"/>
            <w:vAlign w:val="center"/>
          </w:tcPr>
          <w:p>
            <w:pPr>
              <w:spacing w:line="240" w:lineRule="auto"/>
              <w:ind w:firstLine="0" w:firstLineChars="0"/>
              <w:jc w:val="center"/>
              <w:rPr>
                <w:color w:val="auto"/>
                <w:sz w:val="24"/>
              </w:rPr>
            </w:pPr>
            <w:r>
              <w:rPr>
                <w:rFonts w:hint="eastAsia"/>
                <w:color w:val="auto"/>
                <w:sz w:val="24"/>
              </w:rPr>
              <w:t>≥500、</w:t>
            </w:r>
            <w:r>
              <w:rPr>
                <w:rFonts w:asciiTheme="minorEastAsia" w:hAnsiTheme="minorEastAsia" w:eastAsiaTheme="minorEastAsia"/>
                <w:color w:val="auto"/>
                <w:sz w:val="24"/>
              </w:rPr>
              <w:t>≤</w:t>
            </w:r>
            <w:r>
              <w:rPr>
                <w:color w:val="auto"/>
                <w:sz w:val="24"/>
              </w:rPr>
              <w:t>800</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《玻璃和铸石单位产品能源消耗限额》（GB 21340-2019）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12.0</w:t>
            </w:r>
          </w:p>
        </w:tc>
        <w:tc>
          <w:tcPr>
            <w:tcW w:w="408" w:type="pct"/>
            <w:vAlign w:val="center"/>
          </w:tcPr>
          <w:p>
            <w:pPr>
              <w:spacing w:line="240" w:lineRule="auto"/>
              <w:ind w:firstLine="0" w:firstLineChars="0"/>
              <w:jc w:val="center"/>
              <w:rPr>
                <w:color w:val="auto"/>
                <w:sz w:val="24"/>
              </w:rPr>
            </w:pPr>
            <w:r>
              <w:rPr>
                <w:rFonts w:hint="eastAsia"/>
                <w:color w:val="auto"/>
                <w:sz w:val="24"/>
              </w:rPr>
              <w:t>1</w:t>
            </w:r>
            <w:r>
              <w:rPr>
                <w:color w:val="auto"/>
                <w:sz w:val="24"/>
              </w:rPr>
              <w:t>0</w:t>
            </w:r>
            <w:r>
              <w:rPr>
                <w:rFonts w:hint="eastAsia"/>
                <w:color w:val="auto"/>
                <w:sz w:val="24"/>
              </w:rPr>
              <w:t>.0</w:t>
            </w:r>
          </w:p>
        </w:tc>
        <w:tc>
          <w:tcPr>
            <w:tcW w:w="408" w:type="pct"/>
            <w:vAlign w:val="center"/>
          </w:tcPr>
          <w:p>
            <w:pPr>
              <w:spacing w:line="240" w:lineRule="auto"/>
              <w:ind w:firstLine="0" w:firstLineChars="0"/>
              <w:jc w:val="center"/>
              <w:rPr>
                <w:color w:val="auto"/>
                <w:sz w:val="24"/>
              </w:rPr>
            </w:pPr>
            <w:r>
              <w:rPr>
                <w:rFonts w:hint="eastAsia"/>
                <w:color w:val="auto"/>
                <w:sz w:val="24"/>
              </w:rPr>
              <w:t>8.0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rPr>
              <w:t>＞800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rFonts w:hint="eastAsia"/>
                <w:color w:val="auto"/>
                <w:sz w:val="24"/>
              </w:rPr>
              <w:t>2</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平面普通玻璃</w:t>
            </w:r>
          </w:p>
        </w:tc>
        <w:tc>
          <w:tcPr>
            <w:tcW w:w="792" w:type="pct"/>
            <w:vMerge w:val="restart"/>
            <w:vAlign w:val="center"/>
          </w:tcPr>
          <w:p>
            <w:pPr>
              <w:spacing w:line="240" w:lineRule="auto"/>
              <w:ind w:firstLine="0" w:firstLineChars="0"/>
              <w:jc w:val="center"/>
              <w:rPr>
                <w:color w:val="auto"/>
                <w:sz w:val="24"/>
                <w:szCs w:val="24"/>
              </w:rPr>
            </w:pPr>
            <w:r>
              <w:rPr>
                <w:rFonts w:hint="eastAsia"/>
                <w:color w:val="auto"/>
                <w:sz w:val="24"/>
                <w:szCs w:val="24"/>
              </w:rPr>
              <w:t>单位</w:t>
            </w:r>
            <w:r>
              <w:rPr>
                <w:color w:val="auto"/>
                <w:sz w:val="24"/>
                <w:szCs w:val="24"/>
              </w:rPr>
              <w:t>产品</w:t>
            </w:r>
            <w:r>
              <w:rPr>
                <w:rFonts w:hint="eastAsia"/>
                <w:color w:val="auto"/>
                <w:sz w:val="24"/>
                <w:szCs w:val="24"/>
              </w:rPr>
              <w:t>电耗</w:t>
            </w:r>
          </w:p>
          <w:p>
            <w:pPr>
              <w:spacing w:line="240" w:lineRule="auto"/>
              <w:ind w:firstLine="0" w:firstLineChars="0"/>
              <w:jc w:val="center"/>
              <w:rPr>
                <w:color w:val="auto"/>
                <w:sz w:val="24"/>
              </w:rPr>
            </w:pPr>
            <w:r>
              <w:rPr>
                <w:rFonts w:hint="eastAsia"/>
                <w:color w:val="auto"/>
                <w:sz w:val="24"/>
                <w:szCs w:val="24"/>
              </w:rPr>
              <w:t>（</w:t>
            </w:r>
            <w:r>
              <w:rPr>
                <w:color w:val="auto"/>
                <w:sz w:val="24"/>
                <w:szCs w:val="24"/>
              </w:rPr>
              <w:t>kW·h/m</w:t>
            </w:r>
            <w:r>
              <w:rPr>
                <w:color w:val="auto"/>
                <w:sz w:val="24"/>
                <w:szCs w:val="24"/>
                <w:vertAlign w:val="superscript"/>
              </w:rPr>
              <w:t>2</w:t>
            </w:r>
            <w:r>
              <w:rPr>
                <w:rFonts w:hint="eastAsia"/>
                <w:color w:val="auto"/>
                <w:sz w:val="24"/>
                <w:szCs w:val="24"/>
              </w:rPr>
              <w:t>）</w:t>
            </w:r>
          </w:p>
        </w:tc>
        <w:tc>
          <w:tcPr>
            <w:tcW w:w="408" w:type="pct"/>
            <w:vAlign w:val="center"/>
          </w:tcPr>
          <w:p>
            <w:pPr>
              <w:spacing w:line="240" w:lineRule="auto"/>
              <w:ind w:firstLine="0" w:firstLineChars="0"/>
              <w:jc w:val="center"/>
              <w:rPr>
                <w:color w:val="auto"/>
                <w:sz w:val="24"/>
                <w:szCs w:val="24"/>
              </w:rPr>
            </w:pPr>
            <w:r>
              <w:rPr>
                <w:color w:val="auto"/>
              </w:rPr>
              <w:t>3.46</w:t>
            </w:r>
          </w:p>
        </w:tc>
        <w:tc>
          <w:tcPr>
            <w:tcW w:w="408" w:type="pct"/>
            <w:vAlign w:val="center"/>
          </w:tcPr>
          <w:p>
            <w:pPr>
              <w:spacing w:line="240" w:lineRule="auto"/>
              <w:ind w:firstLine="0" w:firstLineChars="0"/>
              <w:jc w:val="center"/>
              <w:rPr>
                <w:color w:val="auto"/>
                <w:sz w:val="24"/>
              </w:rPr>
            </w:pPr>
            <w:r>
              <w:rPr>
                <w:rFonts w:hint="eastAsia"/>
                <w:color w:val="auto"/>
                <w:sz w:val="24"/>
                <w:szCs w:val="24"/>
              </w:rPr>
              <w:t>2.75</w:t>
            </w:r>
          </w:p>
        </w:tc>
        <w:tc>
          <w:tcPr>
            <w:tcW w:w="408" w:type="pct"/>
          </w:tcPr>
          <w:p>
            <w:pPr>
              <w:spacing w:line="240" w:lineRule="auto"/>
              <w:ind w:firstLine="0" w:firstLineChars="0"/>
              <w:jc w:val="center"/>
              <w:rPr>
                <w:color w:val="auto"/>
                <w:sz w:val="24"/>
              </w:rPr>
            </w:pPr>
            <w:r>
              <w:rPr>
                <w:color w:val="auto"/>
              </w:rPr>
              <w:t>2.20</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产品</w:t>
            </w:r>
            <w:r>
              <w:rPr>
                <w:color w:val="auto"/>
                <w:sz w:val="24"/>
              </w:rPr>
              <w:t>规格</w:t>
            </w:r>
          </w:p>
          <w:p>
            <w:pPr>
              <w:spacing w:line="240" w:lineRule="auto"/>
              <w:ind w:firstLine="0" w:firstLineChars="0"/>
              <w:jc w:val="center"/>
              <w:rPr>
                <w:color w:val="auto"/>
                <w:sz w:val="24"/>
              </w:rPr>
            </w:pPr>
            <w:r>
              <w:rPr>
                <w:rFonts w:hint="eastAsia"/>
                <w:color w:val="auto"/>
                <w:sz w:val="24"/>
              </w:rPr>
              <w:t>（mm）</w:t>
            </w:r>
          </w:p>
        </w:tc>
        <w:tc>
          <w:tcPr>
            <w:tcW w:w="585" w:type="pct"/>
            <w:vAlign w:val="center"/>
          </w:tcPr>
          <w:p>
            <w:pPr>
              <w:spacing w:line="240" w:lineRule="auto"/>
              <w:ind w:firstLine="0" w:firstLineChars="0"/>
              <w:jc w:val="center"/>
              <w:rPr>
                <w:color w:val="auto"/>
                <w:sz w:val="24"/>
              </w:rPr>
            </w:pPr>
            <w:r>
              <w:rPr>
                <w:rFonts w:hint="eastAsia"/>
                <w:color w:val="auto"/>
                <w:sz w:val="24"/>
                <w:szCs w:val="24"/>
              </w:rPr>
              <w:t>3</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《玻璃和铸石单位产品能源消耗限额》（GB 21340-2019）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3.58</w:t>
            </w:r>
          </w:p>
        </w:tc>
        <w:tc>
          <w:tcPr>
            <w:tcW w:w="408" w:type="pct"/>
            <w:vAlign w:val="center"/>
          </w:tcPr>
          <w:p>
            <w:pPr>
              <w:spacing w:line="240" w:lineRule="auto"/>
              <w:ind w:firstLine="0" w:firstLineChars="0"/>
              <w:jc w:val="center"/>
              <w:rPr>
                <w:color w:val="auto"/>
                <w:sz w:val="24"/>
              </w:rPr>
            </w:pPr>
            <w:r>
              <w:rPr>
                <w:rFonts w:hint="eastAsia"/>
                <w:color w:val="auto"/>
                <w:sz w:val="24"/>
                <w:szCs w:val="24"/>
              </w:rPr>
              <w:t>2.87</w:t>
            </w:r>
          </w:p>
        </w:tc>
        <w:tc>
          <w:tcPr>
            <w:tcW w:w="408" w:type="pct"/>
          </w:tcPr>
          <w:p>
            <w:pPr>
              <w:spacing w:line="240" w:lineRule="auto"/>
              <w:ind w:firstLine="0" w:firstLineChars="0"/>
              <w:jc w:val="center"/>
              <w:rPr>
                <w:color w:val="auto"/>
                <w:sz w:val="24"/>
              </w:rPr>
            </w:pPr>
            <w:r>
              <w:rPr>
                <w:color w:val="auto"/>
              </w:rPr>
              <w:t>2.30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szCs w:val="24"/>
              </w:rPr>
              <w:t>4</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3.98</w:t>
            </w:r>
          </w:p>
        </w:tc>
        <w:tc>
          <w:tcPr>
            <w:tcW w:w="408" w:type="pct"/>
            <w:vAlign w:val="center"/>
          </w:tcPr>
          <w:p>
            <w:pPr>
              <w:spacing w:line="240" w:lineRule="auto"/>
              <w:ind w:firstLine="0" w:firstLineChars="0"/>
              <w:jc w:val="center"/>
              <w:rPr>
                <w:color w:val="auto"/>
                <w:sz w:val="24"/>
              </w:rPr>
            </w:pPr>
            <w:r>
              <w:rPr>
                <w:rFonts w:hint="eastAsia"/>
                <w:color w:val="auto"/>
                <w:sz w:val="24"/>
                <w:szCs w:val="24"/>
              </w:rPr>
              <w:t>3.30</w:t>
            </w:r>
          </w:p>
        </w:tc>
        <w:tc>
          <w:tcPr>
            <w:tcW w:w="408" w:type="pct"/>
          </w:tcPr>
          <w:p>
            <w:pPr>
              <w:spacing w:line="240" w:lineRule="auto"/>
              <w:ind w:firstLine="0" w:firstLineChars="0"/>
              <w:jc w:val="center"/>
              <w:rPr>
                <w:color w:val="auto"/>
                <w:sz w:val="24"/>
              </w:rPr>
            </w:pPr>
            <w:r>
              <w:rPr>
                <w:color w:val="auto"/>
              </w:rPr>
              <w:t>2.64</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4.39</w:t>
            </w:r>
          </w:p>
        </w:tc>
        <w:tc>
          <w:tcPr>
            <w:tcW w:w="408" w:type="pct"/>
            <w:vAlign w:val="center"/>
          </w:tcPr>
          <w:p>
            <w:pPr>
              <w:spacing w:line="240" w:lineRule="auto"/>
              <w:ind w:firstLine="0" w:firstLineChars="0"/>
              <w:jc w:val="center"/>
              <w:rPr>
                <w:color w:val="auto"/>
                <w:sz w:val="24"/>
              </w:rPr>
            </w:pPr>
            <w:r>
              <w:rPr>
                <w:rFonts w:hint="eastAsia"/>
                <w:color w:val="auto"/>
                <w:sz w:val="24"/>
                <w:szCs w:val="24"/>
              </w:rPr>
              <w:t>4.02</w:t>
            </w:r>
          </w:p>
        </w:tc>
        <w:tc>
          <w:tcPr>
            <w:tcW w:w="408" w:type="pct"/>
          </w:tcPr>
          <w:p>
            <w:pPr>
              <w:spacing w:line="240" w:lineRule="auto"/>
              <w:ind w:firstLine="0" w:firstLineChars="0"/>
              <w:jc w:val="center"/>
              <w:rPr>
                <w:color w:val="auto"/>
                <w:sz w:val="24"/>
              </w:rPr>
            </w:pPr>
            <w:r>
              <w:rPr>
                <w:color w:val="auto"/>
              </w:rPr>
              <w:t>3.22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6</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5.95</w:t>
            </w:r>
          </w:p>
        </w:tc>
        <w:tc>
          <w:tcPr>
            <w:tcW w:w="408" w:type="pct"/>
            <w:vAlign w:val="center"/>
          </w:tcPr>
          <w:p>
            <w:pPr>
              <w:spacing w:line="240" w:lineRule="auto"/>
              <w:ind w:firstLine="0" w:firstLineChars="0"/>
              <w:jc w:val="center"/>
              <w:rPr>
                <w:color w:val="auto"/>
                <w:sz w:val="24"/>
              </w:rPr>
            </w:pPr>
            <w:r>
              <w:rPr>
                <w:rFonts w:hint="eastAsia"/>
                <w:color w:val="auto"/>
                <w:sz w:val="24"/>
                <w:szCs w:val="24"/>
              </w:rPr>
              <w:t>5.00</w:t>
            </w:r>
          </w:p>
        </w:tc>
        <w:tc>
          <w:tcPr>
            <w:tcW w:w="408" w:type="pct"/>
          </w:tcPr>
          <w:p>
            <w:pPr>
              <w:spacing w:line="240" w:lineRule="auto"/>
              <w:ind w:firstLine="0" w:firstLineChars="0"/>
              <w:jc w:val="center"/>
              <w:rPr>
                <w:color w:val="auto"/>
                <w:sz w:val="24"/>
              </w:rPr>
            </w:pPr>
            <w:r>
              <w:rPr>
                <w:color w:val="auto"/>
              </w:rPr>
              <w:t>4.00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8</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7.43</w:t>
            </w:r>
          </w:p>
        </w:tc>
        <w:tc>
          <w:tcPr>
            <w:tcW w:w="408" w:type="pct"/>
            <w:vAlign w:val="center"/>
          </w:tcPr>
          <w:p>
            <w:pPr>
              <w:spacing w:line="240" w:lineRule="auto"/>
              <w:ind w:firstLine="0" w:firstLineChars="0"/>
              <w:jc w:val="center"/>
              <w:rPr>
                <w:color w:val="auto"/>
                <w:sz w:val="24"/>
              </w:rPr>
            </w:pPr>
            <w:r>
              <w:rPr>
                <w:rFonts w:hint="eastAsia"/>
                <w:color w:val="auto"/>
                <w:sz w:val="24"/>
                <w:szCs w:val="24"/>
              </w:rPr>
              <w:t>6.73</w:t>
            </w:r>
          </w:p>
        </w:tc>
        <w:tc>
          <w:tcPr>
            <w:tcW w:w="408" w:type="pct"/>
          </w:tcPr>
          <w:p>
            <w:pPr>
              <w:spacing w:line="240" w:lineRule="auto"/>
              <w:ind w:firstLine="0" w:firstLineChars="0"/>
              <w:jc w:val="center"/>
              <w:rPr>
                <w:color w:val="auto"/>
                <w:sz w:val="24"/>
              </w:rPr>
            </w:pPr>
            <w:r>
              <w:rPr>
                <w:color w:val="auto"/>
              </w:rPr>
              <w:t>5.38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8.51</w:t>
            </w:r>
          </w:p>
        </w:tc>
        <w:tc>
          <w:tcPr>
            <w:tcW w:w="408" w:type="pct"/>
            <w:vAlign w:val="center"/>
          </w:tcPr>
          <w:p>
            <w:pPr>
              <w:spacing w:line="240" w:lineRule="auto"/>
              <w:ind w:firstLine="0" w:firstLineChars="0"/>
              <w:jc w:val="center"/>
              <w:rPr>
                <w:color w:val="auto"/>
                <w:sz w:val="24"/>
              </w:rPr>
            </w:pPr>
            <w:r>
              <w:rPr>
                <w:rFonts w:hint="eastAsia"/>
                <w:color w:val="auto"/>
                <w:sz w:val="24"/>
                <w:szCs w:val="24"/>
              </w:rPr>
              <w:t>7.48</w:t>
            </w:r>
          </w:p>
        </w:tc>
        <w:tc>
          <w:tcPr>
            <w:tcW w:w="408" w:type="pct"/>
          </w:tcPr>
          <w:p>
            <w:pPr>
              <w:spacing w:line="240" w:lineRule="auto"/>
              <w:ind w:firstLine="0" w:firstLineChars="0"/>
              <w:jc w:val="center"/>
              <w:rPr>
                <w:color w:val="auto"/>
                <w:sz w:val="24"/>
              </w:rPr>
            </w:pPr>
            <w:r>
              <w:rPr>
                <w:color w:val="auto"/>
              </w:rPr>
              <w:t>5.98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12</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10.01</w:t>
            </w:r>
          </w:p>
        </w:tc>
        <w:tc>
          <w:tcPr>
            <w:tcW w:w="408" w:type="pct"/>
            <w:vAlign w:val="center"/>
          </w:tcPr>
          <w:p>
            <w:pPr>
              <w:spacing w:line="240" w:lineRule="auto"/>
              <w:ind w:firstLine="0" w:firstLineChars="0"/>
              <w:jc w:val="center"/>
              <w:rPr>
                <w:color w:val="auto"/>
                <w:sz w:val="24"/>
              </w:rPr>
            </w:pPr>
            <w:r>
              <w:rPr>
                <w:rFonts w:hint="eastAsia"/>
                <w:color w:val="auto"/>
                <w:sz w:val="24"/>
                <w:szCs w:val="24"/>
              </w:rPr>
              <w:t>8.98</w:t>
            </w:r>
          </w:p>
        </w:tc>
        <w:tc>
          <w:tcPr>
            <w:tcW w:w="408" w:type="pct"/>
          </w:tcPr>
          <w:p>
            <w:pPr>
              <w:spacing w:line="240" w:lineRule="auto"/>
              <w:ind w:firstLine="0" w:firstLineChars="0"/>
              <w:jc w:val="center"/>
              <w:rPr>
                <w:color w:val="auto"/>
                <w:sz w:val="24"/>
              </w:rPr>
            </w:pPr>
            <w:r>
              <w:rPr>
                <w:color w:val="auto"/>
              </w:rPr>
              <w:t>7.18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14.22</w:t>
            </w:r>
          </w:p>
        </w:tc>
        <w:tc>
          <w:tcPr>
            <w:tcW w:w="408" w:type="pct"/>
            <w:vAlign w:val="center"/>
          </w:tcPr>
          <w:p>
            <w:pPr>
              <w:spacing w:line="240" w:lineRule="auto"/>
              <w:ind w:firstLine="0" w:firstLineChars="0"/>
              <w:jc w:val="center"/>
              <w:rPr>
                <w:color w:val="auto"/>
                <w:sz w:val="24"/>
              </w:rPr>
            </w:pPr>
            <w:r>
              <w:rPr>
                <w:rFonts w:hint="eastAsia"/>
                <w:color w:val="auto"/>
                <w:sz w:val="24"/>
                <w:szCs w:val="24"/>
              </w:rPr>
              <w:t>12.97</w:t>
            </w:r>
          </w:p>
        </w:tc>
        <w:tc>
          <w:tcPr>
            <w:tcW w:w="408" w:type="pct"/>
          </w:tcPr>
          <w:p>
            <w:pPr>
              <w:spacing w:line="240" w:lineRule="auto"/>
              <w:ind w:firstLine="0" w:firstLineChars="0"/>
              <w:jc w:val="center"/>
              <w:rPr>
                <w:color w:val="auto"/>
                <w:sz w:val="24"/>
              </w:rPr>
            </w:pPr>
            <w:r>
              <w:rPr>
                <w:color w:val="auto"/>
              </w:rPr>
              <w:t>10.38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19</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rFonts w:hint="eastAsia"/>
                <w:color w:val="auto"/>
                <w:sz w:val="24"/>
              </w:rPr>
              <w:t>3</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平面低辐射镀膜钢化玻璃</w:t>
            </w:r>
          </w:p>
        </w:tc>
        <w:tc>
          <w:tcPr>
            <w:tcW w:w="792" w:type="pct"/>
            <w:vMerge w:val="restart"/>
            <w:vAlign w:val="center"/>
          </w:tcPr>
          <w:p>
            <w:pPr>
              <w:spacing w:line="240" w:lineRule="auto"/>
              <w:ind w:firstLine="0" w:firstLineChars="0"/>
              <w:jc w:val="center"/>
              <w:rPr>
                <w:color w:val="auto"/>
                <w:sz w:val="24"/>
                <w:szCs w:val="24"/>
              </w:rPr>
            </w:pPr>
            <w:r>
              <w:rPr>
                <w:rFonts w:hint="eastAsia"/>
                <w:color w:val="auto"/>
                <w:sz w:val="24"/>
                <w:szCs w:val="24"/>
              </w:rPr>
              <w:t>单位</w:t>
            </w:r>
            <w:r>
              <w:rPr>
                <w:color w:val="auto"/>
                <w:sz w:val="24"/>
                <w:szCs w:val="24"/>
              </w:rPr>
              <w:t>产品</w:t>
            </w:r>
            <w:r>
              <w:rPr>
                <w:rFonts w:hint="eastAsia"/>
                <w:color w:val="auto"/>
                <w:sz w:val="24"/>
                <w:szCs w:val="24"/>
              </w:rPr>
              <w:t>电耗</w:t>
            </w:r>
          </w:p>
          <w:p>
            <w:pPr>
              <w:spacing w:line="240" w:lineRule="auto"/>
              <w:ind w:firstLine="0" w:firstLineChars="0"/>
              <w:jc w:val="center"/>
              <w:rPr>
                <w:color w:val="auto"/>
                <w:sz w:val="24"/>
              </w:rPr>
            </w:pPr>
            <w:r>
              <w:rPr>
                <w:rFonts w:hint="eastAsia"/>
                <w:color w:val="auto"/>
                <w:sz w:val="24"/>
                <w:szCs w:val="24"/>
              </w:rPr>
              <w:t>（</w:t>
            </w:r>
            <w:r>
              <w:rPr>
                <w:color w:val="auto"/>
                <w:sz w:val="24"/>
                <w:szCs w:val="24"/>
              </w:rPr>
              <w:t>kW·h/m</w:t>
            </w:r>
            <w:r>
              <w:rPr>
                <w:color w:val="auto"/>
                <w:sz w:val="24"/>
                <w:szCs w:val="24"/>
                <w:vertAlign w:val="superscript"/>
              </w:rPr>
              <w:t>2</w:t>
            </w:r>
            <w:r>
              <w:rPr>
                <w:rFonts w:hint="eastAsia"/>
                <w:color w:val="auto"/>
                <w:sz w:val="24"/>
                <w:szCs w:val="24"/>
              </w:rPr>
              <w:t>）</w:t>
            </w:r>
          </w:p>
        </w:tc>
        <w:tc>
          <w:tcPr>
            <w:tcW w:w="408" w:type="pct"/>
            <w:vAlign w:val="center"/>
          </w:tcPr>
          <w:p>
            <w:pPr>
              <w:spacing w:line="240" w:lineRule="auto"/>
              <w:ind w:firstLine="0" w:firstLineChars="0"/>
              <w:jc w:val="center"/>
              <w:rPr>
                <w:color w:val="auto"/>
                <w:sz w:val="24"/>
                <w:szCs w:val="24"/>
              </w:rPr>
            </w:pPr>
            <w:r>
              <w:rPr>
                <w:color w:val="auto"/>
              </w:rPr>
              <w:t>4.29</w:t>
            </w:r>
          </w:p>
        </w:tc>
        <w:tc>
          <w:tcPr>
            <w:tcW w:w="408" w:type="pct"/>
            <w:vAlign w:val="center"/>
          </w:tcPr>
          <w:p>
            <w:pPr>
              <w:spacing w:line="240" w:lineRule="auto"/>
              <w:ind w:firstLine="0" w:firstLineChars="0"/>
              <w:jc w:val="center"/>
              <w:rPr>
                <w:color w:val="auto"/>
                <w:sz w:val="24"/>
              </w:rPr>
            </w:pPr>
            <w:r>
              <w:rPr>
                <w:rFonts w:hint="eastAsia"/>
                <w:color w:val="auto"/>
                <w:sz w:val="24"/>
                <w:szCs w:val="24"/>
              </w:rPr>
              <w:t>3.41</w:t>
            </w:r>
          </w:p>
        </w:tc>
        <w:tc>
          <w:tcPr>
            <w:tcW w:w="408" w:type="pct"/>
          </w:tcPr>
          <w:p>
            <w:pPr>
              <w:spacing w:line="240" w:lineRule="auto"/>
              <w:ind w:firstLine="0" w:firstLineChars="0"/>
              <w:jc w:val="center"/>
              <w:rPr>
                <w:color w:val="auto"/>
                <w:sz w:val="24"/>
              </w:rPr>
            </w:pPr>
            <w:r>
              <w:rPr>
                <w:color w:val="auto"/>
              </w:rPr>
              <w:t>2.73</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产品</w:t>
            </w:r>
            <w:r>
              <w:rPr>
                <w:color w:val="auto"/>
                <w:sz w:val="24"/>
              </w:rPr>
              <w:t>规格</w:t>
            </w:r>
          </w:p>
          <w:p>
            <w:pPr>
              <w:spacing w:line="240" w:lineRule="auto"/>
              <w:ind w:firstLine="0" w:firstLineChars="0"/>
              <w:jc w:val="center"/>
              <w:rPr>
                <w:color w:val="auto"/>
                <w:sz w:val="24"/>
              </w:rPr>
            </w:pPr>
            <w:r>
              <w:rPr>
                <w:rFonts w:hint="eastAsia"/>
                <w:color w:val="auto"/>
                <w:sz w:val="24"/>
              </w:rPr>
              <w:t>（mm）</w:t>
            </w:r>
          </w:p>
        </w:tc>
        <w:tc>
          <w:tcPr>
            <w:tcW w:w="585" w:type="pct"/>
            <w:vAlign w:val="center"/>
          </w:tcPr>
          <w:p>
            <w:pPr>
              <w:spacing w:line="240" w:lineRule="auto"/>
              <w:ind w:firstLine="0" w:firstLineChars="0"/>
              <w:jc w:val="center"/>
              <w:rPr>
                <w:color w:val="auto"/>
                <w:sz w:val="24"/>
              </w:rPr>
            </w:pPr>
            <w:r>
              <w:rPr>
                <w:rFonts w:hint="eastAsia"/>
                <w:color w:val="auto"/>
                <w:sz w:val="24"/>
                <w:szCs w:val="24"/>
              </w:rPr>
              <w:t>3</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《玻璃和铸石单位产品能源消耗限额》（GB 21340-2019）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4.44</w:t>
            </w:r>
          </w:p>
        </w:tc>
        <w:tc>
          <w:tcPr>
            <w:tcW w:w="408" w:type="pct"/>
            <w:vAlign w:val="center"/>
          </w:tcPr>
          <w:p>
            <w:pPr>
              <w:spacing w:line="240" w:lineRule="auto"/>
              <w:ind w:firstLine="0" w:firstLineChars="0"/>
              <w:jc w:val="center"/>
              <w:rPr>
                <w:color w:val="auto"/>
                <w:sz w:val="24"/>
              </w:rPr>
            </w:pPr>
            <w:r>
              <w:rPr>
                <w:rFonts w:hint="eastAsia"/>
                <w:color w:val="auto"/>
                <w:sz w:val="24"/>
                <w:szCs w:val="24"/>
              </w:rPr>
              <w:t>3.56</w:t>
            </w:r>
          </w:p>
        </w:tc>
        <w:tc>
          <w:tcPr>
            <w:tcW w:w="408" w:type="pct"/>
          </w:tcPr>
          <w:p>
            <w:pPr>
              <w:spacing w:line="240" w:lineRule="auto"/>
              <w:ind w:firstLine="0" w:firstLineChars="0"/>
              <w:jc w:val="center"/>
              <w:rPr>
                <w:color w:val="auto"/>
                <w:sz w:val="24"/>
              </w:rPr>
            </w:pPr>
            <w:r>
              <w:rPr>
                <w:color w:val="auto"/>
              </w:rPr>
              <w:t>2.85</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szCs w:val="24"/>
              </w:rPr>
              <w:t>4</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4.94</w:t>
            </w:r>
          </w:p>
        </w:tc>
        <w:tc>
          <w:tcPr>
            <w:tcW w:w="408" w:type="pct"/>
            <w:vAlign w:val="center"/>
          </w:tcPr>
          <w:p>
            <w:pPr>
              <w:spacing w:line="240" w:lineRule="auto"/>
              <w:ind w:firstLine="0" w:firstLineChars="0"/>
              <w:jc w:val="center"/>
              <w:rPr>
                <w:color w:val="auto"/>
                <w:sz w:val="24"/>
              </w:rPr>
            </w:pPr>
            <w:r>
              <w:rPr>
                <w:rFonts w:hint="eastAsia"/>
                <w:color w:val="auto"/>
                <w:sz w:val="24"/>
                <w:szCs w:val="24"/>
              </w:rPr>
              <w:t>4.09</w:t>
            </w:r>
          </w:p>
        </w:tc>
        <w:tc>
          <w:tcPr>
            <w:tcW w:w="408" w:type="pct"/>
          </w:tcPr>
          <w:p>
            <w:pPr>
              <w:spacing w:line="240" w:lineRule="auto"/>
              <w:ind w:firstLine="0" w:firstLineChars="0"/>
              <w:jc w:val="center"/>
              <w:rPr>
                <w:color w:val="auto"/>
                <w:sz w:val="24"/>
              </w:rPr>
            </w:pPr>
            <w:r>
              <w:rPr>
                <w:color w:val="auto"/>
              </w:rPr>
              <w:t>3.27</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5.44</w:t>
            </w:r>
          </w:p>
        </w:tc>
        <w:tc>
          <w:tcPr>
            <w:tcW w:w="408" w:type="pct"/>
            <w:vAlign w:val="center"/>
          </w:tcPr>
          <w:p>
            <w:pPr>
              <w:spacing w:line="240" w:lineRule="auto"/>
              <w:ind w:firstLine="0" w:firstLineChars="0"/>
              <w:jc w:val="center"/>
              <w:rPr>
                <w:color w:val="auto"/>
                <w:sz w:val="24"/>
              </w:rPr>
            </w:pPr>
            <w:r>
              <w:rPr>
                <w:rFonts w:hint="eastAsia"/>
                <w:color w:val="auto"/>
                <w:sz w:val="24"/>
                <w:szCs w:val="24"/>
              </w:rPr>
              <w:t>4.98</w:t>
            </w:r>
          </w:p>
        </w:tc>
        <w:tc>
          <w:tcPr>
            <w:tcW w:w="408" w:type="pct"/>
          </w:tcPr>
          <w:p>
            <w:pPr>
              <w:spacing w:line="240" w:lineRule="auto"/>
              <w:ind w:firstLine="0" w:firstLineChars="0"/>
              <w:jc w:val="center"/>
              <w:rPr>
                <w:color w:val="auto"/>
                <w:sz w:val="24"/>
              </w:rPr>
            </w:pPr>
            <w:r>
              <w:rPr>
                <w:color w:val="auto"/>
              </w:rPr>
              <w:t>3.99</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6</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7.38</w:t>
            </w:r>
          </w:p>
        </w:tc>
        <w:tc>
          <w:tcPr>
            <w:tcW w:w="408" w:type="pct"/>
            <w:vAlign w:val="center"/>
          </w:tcPr>
          <w:p>
            <w:pPr>
              <w:spacing w:line="240" w:lineRule="auto"/>
              <w:ind w:firstLine="0" w:firstLineChars="0"/>
              <w:jc w:val="center"/>
              <w:rPr>
                <w:color w:val="auto"/>
                <w:sz w:val="24"/>
              </w:rPr>
            </w:pPr>
            <w:r>
              <w:rPr>
                <w:rFonts w:hint="eastAsia"/>
                <w:color w:val="auto"/>
                <w:sz w:val="24"/>
                <w:szCs w:val="24"/>
              </w:rPr>
              <w:t>6.20</w:t>
            </w:r>
          </w:p>
        </w:tc>
        <w:tc>
          <w:tcPr>
            <w:tcW w:w="408" w:type="pct"/>
          </w:tcPr>
          <w:p>
            <w:pPr>
              <w:spacing w:line="240" w:lineRule="auto"/>
              <w:ind w:firstLine="0" w:firstLineChars="0"/>
              <w:jc w:val="center"/>
              <w:rPr>
                <w:color w:val="auto"/>
                <w:sz w:val="24"/>
              </w:rPr>
            </w:pPr>
            <w:r>
              <w:rPr>
                <w:color w:val="auto"/>
              </w:rPr>
              <w:t>4.96</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8</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9.21</w:t>
            </w:r>
          </w:p>
        </w:tc>
        <w:tc>
          <w:tcPr>
            <w:tcW w:w="408" w:type="pct"/>
            <w:vAlign w:val="center"/>
          </w:tcPr>
          <w:p>
            <w:pPr>
              <w:spacing w:line="240" w:lineRule="auto"/>
              <w:ind w:firstLine="0" w:firstLineChars="0"/>
              <w:jc w:val="center"/>
              <w:rPr>
                <w:color w:val="auto"/>
                <w:sz w:val="24"/>
              </w:rPr>
            </w:pPr>
            <w:r>
              <w:rPr>
                <w:rFonts w:hint="eastAsia"/>
                <w:color w:val="auto"/>
                <w:sz w:val="24"/>
                <w:szCs w:val="24"/>
              </w:rPr>
              <w:t>8.35</w:t>
            </w:r>
          </w:p>
        </w:tc>
        <w:tc>
          <w:tcPr>
            <w:tcW w:w="408" w:type="pct"/>
          </w:tcPr>
          <w:p>
            <w:pPr>
              <w:spacing w:line="240" w:lineRule="auto"/>
              <w:ind w:firstLine="0" w:firstLineChars="0"/>
              <w:jc w:val="center"/>
              <w:rPr>
                <w:color w:val="auto"/>
                <w:sz w:val="24"/>
              </w:rPr>
            </w:pPr>
            <w:r>
              <w:rPr>
                <w:color w:val="auto"/>
              </w:rPr>
              <w:t>6.57</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10.55</w:t>
            </w:r>
          </w:p>
        </w:tc>
        <w:tc>
          <w:tcPr>
            <w:tcW w:w="408" w:type="pct"/>
            <w:vAlign w:val="center"/>
          </w:tcPr>
          <w:p>
            <w:pPr>
              <w:spacing w:line="240" w:lineRule="auto"/>
              <w:ind w:firstLine="0" w:firstLineChars="0"/>
              <w:jc w:val="center"/>
              <w:rPr>
                <w:color w:val="auto"/>
                <w:sz w:val="24"/>
              </w:rPr>
            </w:pPr>
            <w:r>
              <w:rPr>
                <w:rFonts w:hint="eastAsia"/>
                <w:color w:val="auto"/>
                <w:sz w:val="24"/>
                <w:szCs w:val="24"/>
              </w:rPr>
              <w:t>9.28</w:t>
            </w:r>
          </w:p>
        </w:tc>
        <w:tc>
          <w:tcPr>
            <w:tcW w:w="408" w:type="pct"/>
          </w:tcPr>
          <w:p>
            <w:pPr>
              <w:spacing w:line="240" w:lineRule="auto"/>
              <w:ind w:firstLine="0" w:firstLineChars="0"/>
              <w:jc w:val="center"/>
              <w:rPr>
                <w:color w:val="auto"/>
                <w:sz w:val="24"/>
              </w:rPr>
            </w:pPr>
            <w:r>
              <w:rPr>
                <w:color w:val="auto"/>
              </w:rPr>
              <w:t>7.42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12</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12.41</w:t>
            </w:r>
          </w:p>
        </w:tc>
        <w:tc>
          <w:tcPr>
            <w:tcW w:w="408" w:type="pct"/>
            <w:vAlign w:val="center"/>
          </w:tcPr>
          <w:p>
            <w:pPr>
              <w:spacing w:line="240" w:lineRule="auto"/>
              <w:ind w:firstLine="0" w:firstLineChars="0"/>
              <w:jc w:val="center"/>
              <w:rPr>
                <w:color w:val="auto"/>
                <w:sz w:val="24"/>
              </w:rPr>
            </w:pPr>
            <w:r>
              <w:rPr>
                <w:rFonts w:hint="eastAsia"/>
                <w:color w:val="auto"/>
                <w:sz w:val="24"/>
                <w:szCs w:val="24"/>
              </w:rPr>
              <w:t>11.14</w:t>
            </w:r>
          </w:p>
        </w:tc>
        <w:tc>
          <w:tcPr>
            <w:tcW w:w="408" w:type="pct"/>
          </w:tcPr>
          <w:p>
            <w:pPr>
              <w:spacing w:line="240" w:lineRule="auto"/>
              <w:ind w:firstLine="0" w:firstLineChars="0"/>
              <w:jc w:val="center"/>
              <w:rPr>
                <w:color w:val="auto"/>
                <w:sz w:val="24"/>
              </w:rPr>
            </w:pPr>
            <w:r>
              <w:rPr>
                <w:color w:val="auto"/>
              </w:rPr>
              <w:t>8.90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17.63</w:t>
            </w:r>
          </w:p>
        </w:tc>
        <w:tc>
          <w:tcPr>
            <w:tcW w:w="408" w:type="pct"/>
            <w:vAlign w:val="center"/>
          </w:tcPr>
          <w:p>
            <w:pPr>
              <w:spacing w:line="240" w:lineRule="auto"/>
              <w:ind w:firstLine="0" w:firstLineChars="0"/>
              <w:jc w:val="center"/>
              <w:rPr>
                <w:color w:val="auto"/>
                <w:sz w:val="24"/>
              </w:rPr>
            </w:pPr>
            <w:r>
              <w:rPr>
                <w:rFonts w:hint="eastAsia"/>
                <w:color w:val="auto"/>
                <w:sz w:val="24"/>
                <w:szCs w:val="24"/>
              </w:rPr>
              <w:t>16.08</w:t>
            </w:r>
          </w:p>
        </w:tc>
        <w:tc>
          <w:tcPr>
            <w:tcW w:w="408" w:type="pct"/>
          </w:tcPr>
          <w:p>
            <w:pPr>
              <w:spacing w:line="240" w:lineRule="auto"/>
              <w:ind w:firstLine="0" w:firstLineChars="0"/>
              <w:jc w:val="center"/>
              <w:rPr>
                <w:color w:val="auto"/>
                <w:sz w:val="24"/>
              </w:rPr>
            </w:pPr>
            <w:r>
              <w:rPr>
                <w:color w:val="auto"/>
              </w:rPr>
              <w:t>12.87</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19</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rFonts w:hint="eastAsia"/>
                <w:color w:val="auto"/>
                <w:sz w:val="24"/>
              </w:rPr>
              <w:t>4</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曲面普通钢化玻璃</w:t>
            </w:r>
          </w:p>
        </w:tc>
        <w:tc>
          <w:tcPr>
            <w:tcW w:w="792" w:type="pct"/>
            <w:vMerge w:val="restart"/>
            <w:vAlign w:val="center"/>
          </w:tcPr>
          <w:p>
            <w:pPr>
              <w:spacing w:line="240" w:lineRule="auto"/>
              <w:ind w:firstLine="0" w:firstLineChars="0"/>
              <w:jc w:val="center"/>
              <w:rPr>
                <w:color w:val="auto"/>
                <w:sz w:val="24"/>
                <w:szCs w:val="24"/>
              </w:rPr>
            </w:pPr>
            <w:r>
              <w:rPr>
                <w:rFonts w:hint="eastAsia"/>
                <w:color w:val="auto"/>
                <w:sz w:val="24"/>
                <w:szCs w:val="24"/>
              </w:rPr>
              <w:t>单位</w:t>
            </w:r>
            <w:r>
              <w:rPr>
                <w:color w:val="auto"/>
                <w:sz w:val="24"/>
                <w:szCs w:val="24"/>
              </w:rPr>
              <w:t>产品</w:t>
            </w:r>
            <w:r>
              <w:rPr>
                <w:rFonts w:hint="eastAsia"/>
                <w:color w:val="auto"/>
                <w:sz w:val="24"/>
                <w:szCs w:val="24"/>
              </w:rPr>
              <w:t>电耗</w:t>
            </w:r>
          </w:p>
          <w:p>
            <w:pPr>
              <w:spacing w:line="240" w:lineRule="auto"/>
              <w:ind w:firstLine="0" w:firstLineChars="0"/>
              <w:jc w:val="center"/>
              <w:rPr>
                <w:color w:val="auto"/>
                <w:sz w:val="24"/>
              </w:rPr>
            </w:pPr>
            <w:r>
              <w:rPr>
                <w:rFonts w:hint="eastAsia"/>
                <w:color w:val="auto"/>
                <w:sz w:val="24"/>
                <w:szCs w:val="24"/>
              </w:rPr>
              <w:t>（</w:t>
            </w:r>
            <w:r>
              <w:rPr>
                <w:color w:val="auto"/>
                <w:sz w:val="24"/>
                <w:szCs w:val="24"/>
              </w:rPr>
              <w:t>kW·h/m</w:t>
            </w:r>
            <w:r>
              <w:rPr>
                <w:color w:val="auto"/>
                <w:sz w:val="24"/>
                <w:szCs w:val="24"/>
                <w:vertAlign w:val="superscript"/>
              </w:rPr>
              <w:t>2</w:t>
            </w:r>
            <w:r>
              <w:rPr>
                <w:rFonts w:hint="eastAsia"/>
                <w:color w:val="auto"/>
                <w:sz w:val="24"/>
                <w:szCs w:val="24"/>
              </w:rPr>
              <w:t>）</w:t>
            </w:r>
          </w:p>
        </w:tc>
        <w:tc>
          <w:tcPr>
            <w:tcW w:w="408" w:type="pct"/>
            <w:vAlign w:val="center"/>
          </w:tcPr>
          <w:p>
            <w:pPr>
              <w:spacing w:line="240" w:lineRule="auto"/>
              <w:ind w:firstLine="0" w:firstLineChars="0"/>
              <w:jc w:val="center"/>
              <w:rPr>
                <w:color w:val="auto"/>
                <w:sz w:val="24"/>
                <w:szCs w:val="24"/>
              </w:rPr>
            </w:pPr>
            <w:r>
              <w:rPr>
                <w:color w:val="auto"/>
              </w:rPr>
              <w:t>4.53</w:t>
            </w:r>
          </w:p>
        </w:tc>
        <w:tc>
          <w:tcPr>
            <w:tcW w:w="408" w:type="pct"/>
            <w:vAlign w:val="center"/>
          </w:tcPr>
          <w:p>
            <w:pPr>
              <w:spacing w:line="240" w:lineRule="auto"/>
              <w:ind w:firstLine="0" w:firstLineChars="0"/>
              <w:jc w:val="center"/>
              <w:rPr>
                <w:color w:val="auto"/>
                <w:sz w:val="24"/>
                <w:szCs w:val="24"/>
              </w:rPr>
            </w:pPr>
            <w:r>
              <w:rPr>
                <w:color w:val="auto"/>
                <w:sz w:val="24"/>
                <w:szCs w:val="24"/>
              </w:rPr>
              <w:t>3.60</w:t>
            </w:r>
          </w:p>
        </w:tc>
        <w:tc>
          <w:tcPr>
            <w:tcW w:w="408" w:type="pct"/>
          </w:tcPr>
          <w:p>
            <w:pPr>
              <w:spacing w:line="240" w:lineRule="auto"/>
              <w:ind w:firstLine="0" w:firstLineChars="0"/>
              <w:jc w:val="center"/>
              <w:rPr>
                <w:color w:val="auto"/>
                <w:sz w:val="24"/>
              </w:rPr>
            </w:pPr>
            <w:r>
              <w:rPr>
                <w:color w:val="auto"/>
              </w:rPr>
              <w:t>2.88</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产品</w:t>
            </w:r>
            <w:r>
              <w:rPr>
                <w:color w:val="auto"/>
                <w:sz w:val="24"/>
              </w:rPr>
              <w:t>规格</w:t>
            </w:r>
          </w:p>
          <w:p>
            <w:pPr>
              <w:spacing w:line="240" w:lineRule="auto"/>
              <w:ind w:firstLine="0" w:firstLineChars="0"/>
              <w:jc w:val="center"/>
              <w:rPr>
                <w:color w:val="auto"/>
                <w:sz w:val="24"/>
              </w:rPr>
            </w:pPr>
            <w:r>
              <w:rPr>
                <w:rFonts w:hint="eastAsia"/>
                <w:color w:val="auto"/>
                <w:sz w:val="24"/>
              </w:rPr>
              <w:t>（mm）</w:t>
            </w:r>
          </w:p>
        </w:tc>
        <w:tc>
          <w:tcPr>
            <w:tcW w:w="585" w:type="pct"/>
            <w:vAlign w:val="center"/>
          </w:tcPr>
          <w:p>
            <w:pPr>
              <w:spacing w:line="240" w:lineRule="auto"/>
              <w:ind w:firstLine="0" w:firstLineChars="0"/>
              <w:jc w:val="center"/>
              <w:rPr>
                <w:color w:val="auto"/>
                <w:sz w:val="24"/>
              </w:rPr>
            </w:pPr>
            <w:r>
              <w:rPr>
                <w:rFonts w:hint="eastAsia"/>
                <w:color w:val="auto"/>
                <w:sz w:val="24"/>
                <w:szCs w:val="24"/>
              </w:rPr>
              <w:t>3</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《玻璃和铸石单位产品能源消耗限额》（GB 21340-2019）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4.69</w:t>
            </w:r>
          </w:p>
        </w:tc>
        <w:tc>
          <w:tcPr>
            <w:tcW w:w="408" w:type="pct"/>
            <w:vAlign w:val="center"/>
          </w:tcPr>
          <w:p>
            <w:pPr>
              <w:spacing w:line="240" w:lineRule="auto"/>
              <w:ind w:firstLine="0" w:firstLineChars="0"/>
              <w:jc w:val="center"/>
              <w:rPr>
                <w:color w:val="auto"/>
                <w:sz w:val="24"/>
                <w:szCs w:val="24"/>
              </w:rPr>
            </w:pPr>
            <w:r>
              <w:rPr>
                <w:color w:val="auto"/>
                <w:sz w:val="24"/>
                <w:szCs w:val="24"/>
              </w:rPr>
              <w:t>3.76</w:t>
            </w:r>
          </w:p>
        </w:tc>
        <w:tc>
          <w:tcPr>
            <w:tcW w:w="408" w:type="pct"/>
          </w:tcPr>
          <w:p>
            <w:pPr>
              <w:spacing w:line="240" w:lineRule="auto"/>
              <w:ind w:firstLine="0" w:firstLineChars="0"/>
              <w:jc w:val="center"/>
              <w:rPr>
                <w:color w:val="auto"/>
                <w:sz w:val="24"/>
              </w:rPr>
            </w:pPr>
            <w:r>
              <w:rPr>
                <w:color w:val="auto"/>
              </w:rPr>
              <w:t>3.01</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szCs w:val="24"/>
              </w:rPr>
              <w:t>4</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5.21</w:t>
            </w:r>
          </w:p>
        </w:tc>
        <w:tc>
          <w:tcPr>
            <w:tcW w:w="408" w:type="pct"/>
            <w:vAlign w:val="center"/>
          </w:tcPr>
          <w:p>
            <w:pPr>
              <w:spacing w:line="240" w:lineRule="auto"/>
              <w:ind w:firstLine="0" w:firstLineChars="0"/>
              <w:jc w:val="center"/>
              <w:rPr>
                <w:color w:val="auto"/>
                <w:sz w:val="24"/>
                <w:szCs w:val="24"/>
              </w:rPr>
            </w:pPr>
            <w:r>
              <w:rPr>
                <w:color w:val="auto"/>
                <w:sz w:val="24"/>
                <w:szCs w:val="24"/>
              </w:rPr>
              <w:t>4.32</w:t>
            </w:r>
          </w:p>
        </w:tc>
        <w:tc>
          <w:tcPr>
            <w:tcW w:w="408" w:type="pct"/>
          </w:tcPr>
          <w:p>
            <w:pPr>
              <w:spacing w:line="240" w:lineRule="auto"/>
              <w:ind w:firstLine="0" w:firstLineChars="0"/>
              <w:jc w:val="center"/>
              <w:rPr>
                <w:color w:val="auto"/>
                <w:sz w:val="24"/>
              </w:rPr>
            </w:pPr>
            <w:r>
              <w:rPr>
                <w:color w:val="auto"/>
              </w:rPr>
              <w:t>3.46</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5.75</w:t>
            </w:r>
          </w:p>
        </w:tc>
        <w:tc>
          <w:tcPr>
            <w:tcW w:w="408" w:type="pct"/>
            <w:vAlign w:val="center"/>
          </w:tcPr>
          <w:p>
            <w:pPr>
              <w:spacing w:line="240" w:lineRule="auto"/>
              <w:ind w:firstLine="0" w:firstLineChars="0"/>
              <w:jc w:val="center"/>
              <w:rPr>
                <w:color w:val="auto"/>
                <w:sz w:val="24"/>
                <w:szCs w:val="24"/>
              </w:rPr>
            </w:pPr>
            <w:r>
              <w:rPr>
                <w:color w:val="auto"/>
                <w:sz w:val="24"/>
                <w:szCs w:val="24"/>
              </w:rPr>
              <w:t>5.27</w:t>
            </w:r>
          </w:p>
        </w:tc>
        <w:tc>
          <w:tcPr>
            <w:tcW w:w="408" w:type="pct"/>
          </w:tcPr>
          <w:p>
            <w:pPr>
              <w:spacing w:line="240" w:lineRule="auto"/>
              <w:ind w:firstLine="0" w:firstLineChars="0"/>
              <w:jc w:val="center"/>
              <w:rPr>
                <w:color w:val="auto"/>
                <w:sz w:val="24"/>
              </w:rPr>
            </w:pPr>
            <w:r>
              <w:rPr>
                <w:color w:val="auto"/>
              </w:rPr>
              <w:t>4.22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6</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7.75</w:t>
            </w:r>
          </w:p>
        </w:tc>
        <w:tc>
          <w:tcPr>
            <w:tcW w:w="408" w:type="pct"/>
            <w:vAlign w:val="center"/>
          </w:tcPr>
          <w:p>
            <w:pPr>
              <w:spacing w:line="240" w:lineRule="auto"/>
              <w:ind w:firstLine="0" w:firstLineChars="0"/>
              <w:jc w:val="center"/>
              <w:rPr>
                <w:color w:val="auto"/>
                <w:sz w:val="24"/>
                <w:szCs w:val="24"/>
              </w:rPr>
            </w:pPr>
            <w:r>
              <w:rPr>
                <w:color w:val="auto"/>
                <w:sz w:val="24"/>
                <w:szCs w:val="24"/>
              </w:rPr>
              <w:t>6.55</w:t>
            </w:r>
          </w:p>
        </w:tc>
        <w:tc>
          <w:tcPr>
            <w:tcW w:w="408" w:type="pct"/>
          </w:tcPr>
          <w:p>
            <w:pPr>
              <w:spacing w:line="240" w:lineRule="auto"/>
              <w:ind w:firstLine="0" w:firstLineChars="0"/>
              <w:jc w:val="center"/>
              <w:rPr>
                <w:color w:val="auto"/>
                <w:sz w:val="24"/>
              </w:rPr>
            </w:pPr>
            <w:r>
              <w:rPr>
                <w:color w:val="auto"/>
              </w:rPr>
              <w:t>5.24</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8</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9.73</w:t>
            </w:r>
          </w:p>
        </w:tc>
        <w:tc>
          <w:tcPr>
            <w:tcW w:w="408" w:type="pct"/>
            <w:vAlign w:val="center"/>
          </w:tcPr>
          <w:p>
            <w:pPr>
              <w:spacing w:line="240" w:lineRule="auto"/>
              <w:ind w:firstLine="0" w:firstLineChars="0"/>
              <w:jc w:val="center"/>
              <w:rPr>
                <w:color w:val="auto"/>
                <w:sz w:val="24"/>
                <w:szCs w:val="24"/>
              </w:rPr>
            </w:pPr>
            <w:r>
              <w:rPr>
                <w:color w:val="auto"/>
                <w:sz w:val="24"/>
                <w:szCs w:val="24"/>
              </w:rPr>
              <w:t>8.82</w:t>
            </w:r>
          </w:p>
        </w:tc>
        <w:tc>
          <w:tcPr>
            <w:tcW w:w="408" w:type="pct"/>
          </w:tcPr>
          <w:p>
            <w:pPr>
              <w:spacing w:line="240" w:lineRule="auto"/>
              <w:ind w:firstLine="0" w:firstLineChars="0"/>
              <w:jc w:val="center"/>
              <w:rPr>
                <w:color w:val="auto"/>
                <w:sz w:val="24"/>
              </w:rPr>
            </w:pPr>
            <w:r>
              <w:rPr>
                <w:color w:val="auto"/>
              </w:rPr>
              <w:t>7.05</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11.15</w:t>
            </w:r>
          </w:p>
        </w:tc>
        <w:tc>
          <w:tcPr>
            <w:tcW w:w="408" w:type="pct"/>
            <w:vAlign w:val="center"/>
          </w:tcPr>
          <w:p>
            <w:pPr>
              <w:spacing w:line="240" w:lineRule="auto"/>
              <w:ind w:firstLine="0" w:firstLineChars="0"/>
              <w:jc w:val="center"/>
              <w:rPr>
                <w:color w:val="auto"/>
                <w:sz w:val="24"/>
                <w:szCs w:val="24"/>
              </w:rPr>
            </w:pPr>
            <w:r>
              <w:rPr>
                <w:color w:val="auto"/>
                <w:sz w:val="24"/>
                <w:szCs w:val="24"/>
              </w:rPr>
              <w:t>9.80</w:t>
            </w:r>
          </w:p>
        </w:tc>
        <w:tc>
          <w:tcPr>
            <w:tcW w:w="408" w:type="pct"/>
          </w:tcPr>
          <w:p>
            <w:pPr>
              <w:spacing w:line="240" w:lineRule="auto"/>
              <w:ind w:firstLine="0" w:firstLineChars="0"/>
              <w:jc w:val="center"/>
              <w:rPr>
                <w:color w:val="auto"/>
                <w:sz w:val="24"/>
              </w:rPr>
            </w:pPr>
            <w:r>
              <w:rPr>
                <w:color w:val="auto"/>
              </w:rPr>
              <w:t>7.83</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12</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13.11</w:t>
            </w:r>
          </w:p>
        </w:tc>
        <w:tc>
          <w:tcPr>
            <w:tcW w:w="408" w:type="pct"/>
            <w:vAlign w:val="center"/>
          </w:tcPr>
          <w:p>
            <w:pPr>
              <w:spacing w:line="240" w:lineRule="auto"/>
              <w:ind w:firstLine="0" w:firstLineChars="0"/>
              <w:jc w:val="center"/>
              <w:rPr>
                <w:color w:val="auto"/>
                <w:sz w:val="24"/>
                <w:szCs w:val="24"/>
              </w:rPr>
            </w:pPr>
            <w:r>
              <w:rPr>
                <w:color w:val="auto"/>
                <w:sz w:val="24"/>
                <w:szCs w:val="24"/>
              </w:rPr>
              <w:t>11.76</w:t>
            </w:r>
          </w:p>
        </w:tc>
        <w:tc>
          <w:tcPr>
            <w:tcW w:w="408" w:type="pct"/>
          </w:tcPr>
          <w:p>
            <w:pPr>
              <w:spacing w:line="240" w:lineRule="auto"/>
              <w:ind w:firstLine="0" w:firstLineChars="0"/>
              <w:jc w:val="center"/>
              <w:rPr>
                <w:color w:val="auto"/>
                <w:sz w:val="24"/>
              </w:rPr>
            </w:pPr>
            <w:r>
              <w:rPr>
                <w:color w:val="auto"/>
              </w:rPr>
              <w:t>9.41</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18.63</w:t>
            </w:r>
          </w:p>
        </w:tc>
        <w:tc>
          <w:tcPr>
            <w:tcW w:w="408" w:type="pct"/>
            <w:vAlign w:val="center"/>
          </w:tcPr>
          <w:p>
            <w:pPr>
              <w:spacing w:line="240" w:lineRule="auto"/>
              <w:ind w:firstLine="0" w:firstLineChars="0"/>
              <w:jc w:val="center"/>
              <w:rPr>
                <w:color w:val="auto"/>
                <w:sz w:val="24"/>
                <w:szCs w:val="24"/>
              </w:rPr>
            </w:pPr>
            <w:r>
              <w:rPr>
                <w:color w:val="auto"/>
                <w:sz w:val="24"/>
                <w:szCs w:val="24"/>
              </w:rPr>
              <w:t>16.99</w:t>
            </w:r>
          </w:p>
        </w:tc>
        <w:tc>
          <w:tcPr>
            <w:tcW w:w="408" w:type="pct"/>
          </w:tcPr>
          <w:p>
            <w:pPr>
              <w:spacing w:line="240" w:lineRule="auto"/>
              <w:ind w:firstLine="0" w:firstLineChars="0"/>
              <w:jc w:val="center"/>
              <w:rPr>
                <w:color w:val="auto"/>
                <w:sz w:val="24"/>
              </w:rPr>
            </w:pPr>
            <w:r>
              <w:rPr>
                <w:color w:val="auto"/>
              </w:rPr>
              <w:t>13.60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19</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rFonts w:hint="eastAsia"/>
                <w:color w:val="auto"/>
                <w:sz w:val="24"/>
              </w:rPr>
              <w:t>5</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曲面低辐射镀膜钢化玻璃</w:t>
            </w:r>
          </w:p>
        </w:tc>
        <w:tc>
          <w:tcPr>
            <w:tcW w:w="792" w:type="pct"/>
            <w:vMerge w:val="restart"/>
            <w:vAlign w:val="center"/>
          </w:tcPr>
          <w:p>
            <w:pPr>
              <w:spacing w:line="240" w:lineRule="auto"/>
              <w:ind w:firstLine="0" w:firstLineChars="0"/>
              <w:jc w:val="center"/>
              <w:rPr>
                <w:color w:val="auto"/>
                <w:sz w:val="24"/>
                <w:szCs w:val="24"/>
              </w:rPr>
            </w:pPr>
            <w:r>
              <w:rPr>
                <w:rFonts w:hint="eastAsia"/>
                <w:color w:val="auto"/>
                <w:sz w:val="24"/>
                <w:szCs w:val="24"/>
              </w:rPr>
              <w:t>单位</w:t>
            </w:r>
            <w:r>
              <w:rPr>
                <w:color w:val="auto"/>
                <w:sz w:val="24"/>
                <w:szCs w:val="24"/>
              </w:rPr>
              <w:t>产品</w:t>
            </w:r>
            <w:r>
              <w:rPr>
                <w:rFonts w:hint="eastAsia"/>
                <w:color w:val="auto"/>
                <w:sz w:val="24"/>
                <w:szCs w:val="24"/>
              </w:rPr>
              <w:t>电耗</w:t>
            </w:r>
          </w:p>
          <w:p>
            <w:pPr>
              <w:spacing w:line="240" w:lineRule="auto"/>
              <w:ind w:firstLine="0" w:firstLineChars="0"/>
              <w:jc w:val="center"/>
              <w:rPr>
                <w:color w:val="auto"/>
                <w:sz w:val="24"/>
              </w:rPr>
            </w:pPr>
            <w:r>
              <w:rPr>
                <w:rFonts w:hint="eastAsia"/>
                <w:color w:val="auto"/>
                <w:sz w:val="24"/>
                <w:szCs w:val="24"/>
              </w:rPr>
              <w:t>（</w:t>
            </w:r>
            <w:r>
              <w:rPr>
                <w:color w:val="auto"/>
                <w:sz w:val="24"/>
                <w:szCs w:val="24"/>
              </w:rPr>
              <w:t>kW·h/m</w:t>
            </w:r>
            <w:r>
              <w:rPr>
                <w:color w:val="auto"/>
                <w:sz w:val="24"/>
                <w:szCs w:val="24"/>
                <w:vertAlign w:val="superscript"/>
              </w:rPr>
              <w:t>2</w:t>
            </w:r>
            <w:r>
              <w:rPr>
                <w:rFonts w:hint="eastAsia"/>
                <w:color w:val="auto"/>
                <w:sz w:val="24"/>
                <w:szCs w:val="24"/>
              </w:rPr>
              <w:t>）</w:t>
            </w:r>
          </w:p>
        </w:tc>
        <w:tc>
          <w:tcPr>
            <w:tcW w:w="408" w:type="pct"/>
            <w:vAlign w:val="center"/>
          </w:tcPr>
          <w:p>
            <w:pPr>
              <w:spacing w:line="240" w:lineRule="auto"/>
              <w:ind w:firstLine="0" w:firstLineChars="0"/>
              <w:jc w:val="center"/>
              <w:rPr>
                <w:color w:val="auto"/>
                <w:sz w:val="24"/>
                <w:szCs w:val="24"/>
              </w:rPr>
            </w:pPr>
            <w:r>
              <w:rPr>
                <w:color w:val="auto"/>
              </w:rPr>
              <w:t>5.51</w:t>
            </w:r>
          </w:p>
        </w:tc>
        <w:tc>
          <w:tcPr>
            <w:tcW w:w="408" w:type="pct"/>
            <w:vAlign w:val="center"/>
          </w:tcPr>
          <w:p>
            <w:pPr>
              <w:spacing w:line="240" w:lineRule="auto"/>
              <w:ind w:firstLine="0" w:firstLineChars="0"/>
              <w:jc w:val="center"/>
              <w:rPr>
                <w:color w:val="auto"/>
                <w:sz w:val="24"/>
                <w:szCs w:val="24"/>
              </w:rPr>
            </w:pPr>
            <w:r>
              <w:rPr>
                <w:color w:val="auto"/>
                <w:sz w:val="24"/>
                <w:szCs w:val="24"/>
              </w:rPr>
              <w:t>4.46</w:t>
            </w:r>
          </w:p>
        </w:tc>
        <w:tc>
          <w:tcPr>
            <w:tcW w:w="408" w:type="pct"/>
          </w:tcPr>
          <w:p>
            <w:pPr>
              <w:spacing w:line="240" w:lineRule="auto"/>
              <w:ind w:firstLine="0" w:firstLineChars="0"/>
              <w:jc w:val="center"/>
              <w:rPr>
                <w:color w:val="auto"/>
                <w:sz w:val="24"/>
              </w:rPr>
            </w:pPr>
            <w:r>
              <w:rPr>
                <w:color w:val="auto"/>
              </w:rPr>
              <w:t>3.56</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产品</w:t>
            </w:r>
            <w:r>
              <w:rPr>
                <w:color w:val="auto"/>
                <w:sz w:val="24"/>
              </w:rPr>
              <w:t>规格</w:t>
            </w:r>
          </w:p>
          <w:p>
            <w:pPr>
              <w:spacing w:line="240" w:lineRule="auto"/>
              <w:ind w:firstLine="0" w:firstLineChars="0"/>
              <w:jc w:val="center"/>
              <w:rPr>
                <w:color w:val="auto"/>
                <w:sz w:val="24"/>
              </w:rPr>
            </w:pPr>
            <w:r>
              <w:rPr>
                <w:rFonts w:hint="eastAsia"/>
                <w:color w:val="auto"/>
                <w:sz w:val="24"/>
              </w:rPr>
              <w:t>（mm）</w:t>
            </w:r>
          </w:p>
        </w:tc>
        <w:tc>
          <w:tcPr>
            <w:tcW w:w="585" w:type="pct"/>
            <w:vAlign w:val="center"/>
          </w:tcPr>
          <w:p>
            <w:pPr>
              <w:spacing w:line="240" w:lineRule="auto"/>
              <w:ind w:firstLine="0" w:firstLineChars="0"/>
              <w:jc w:val="center"/>
              <w:rPr>
                <w:color w:val="auto"/>
                <w:sz w:val="24"/>
              </w:rPr>
            </w:pPr>
            <w:r>
              <w:rPr>
                <w:rFonts w:hint="eastAsia"/>
                <w:color w:val="auto"/>
                <w:sz w:val="24"/>
                <w:szCs w:val="24"/>
              </w:rPr>
              <w:t>3</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《玻璃和铸石单位产品能源消耗限额》（GB 21340-2019）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5.80</w:t>
            </w:r>
          </w:p>
        </w:tc>
        <w:tc>
          <w:tcPr>
            <w:tcW w:w="408" w:type="pct"/>
            <w:vAlign w:val="center"/>
          </w:tcPr>
          <w:p>
            <w:pPr>
              <w:spacing w:line="240" w:lineRule="auto"/>
              <w:ind w:firstLine="0" w:firstLineChars="0"/>
              <w:jc w:val="center"/>
              <w:rPr>
                <w:color w:val="auto"/>
                <w:sz w:val="24"/>
                <w:szCs w:val="24"/>
              </w:rPr>
            </w:pPr>
            <w:r>
              <w:rPr>
                <w:color w:val="auto"/>
                <w:sz w:val="24"/>
                <w:szCs w:val="24"/>
              </w:rPr>
              <w:t>4.65</w:t>
            </w:r>
          </w:p>
        </w:tc>
        <w:tc>
          <w:tcPr>
            <w:tcW w:w="408" w:type="pct"/>
          </w:tcPr>
          <w:p>
            <w:pPr>
              <w:spacing w:line="240" w:lineRule="auto"/>
              <w:ind w:firstLine="0" w:firstLineChars="0"/>
              <w:jc w:val="center"/>
              <w:rPr>
                <w:color w:val="auto"/>
                <w:sz w:val="24"/>
              </w:rPr>
            </w:pPr>
            <w:r>
              <w:rPr>
                <w:color w:val="auto"/>
              </w:rPr>
              <w:t>3.73</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szCs w:val="24"/>
              </w:rPr>
              <w:t>4</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6.45</w:t>
            </w:r>
          </w:p>
        </w:tc>
        <w:tc>
          <w:tcPr>
            <w:tcW w:w="408" w:type="pct"/>
            <w:vAlign w:val="center"/>
          </w:tcPr>
          <w:p>
            <w:pPr>
              <w:spacing w:line="240" w:lineRule="auto"/>
              <w:ind w:firstLine="0" w:firstLineChars="0"/>
              <w:jc w:val="center"/>
              <w:rPr>
                <w:color w:val="auto"/>
                <w:sz w:val="24"/>
                <w:szCs w:val="24"/>
              </w:rPr>
            </w:pPr>
            <w:r>
              <w:rPr>
                <w:color w:val="auto"/>
                <w:sz w:val="24"/>
                <w:szCs w:val="24"/>
              </w:rPr>
              <w:t>5.35</w:t>
            </w:r>
          </w:p>
        </w:tc>
        <w:tc>
          <w:tcPr>
            <w:tcW w:w="408" w:type="pct"/>
          </w:tcPr>
          <w:p>
            <w:pPr>
              <w:spacing w:line="240" w:lineRule="auto"/>
              <w:ind w:firstLine="0" w:firstLineChars="0"/>
              <w:jc w:val="center"/>
              <w:rPr>
                <w:color w:val="auto"/>
                <w:sz w:val="24"/>
              </w:rPr>
            </w:pPr>
            <w:r>
              <w:rPr>
                <w:color w:val="auto"/>
              </w:rPr>
              <w:t>4.28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7.11</w:t>
            </w:r>
          </w:p>
        </w:tc>
        <w:tc>
          <w:tcPr>
            <w:tcW w:w="408" w:type="pct"/>
            <w:vAlign w:val="center"/>
          </w:tcPr>
          <w:p>
            <w:pPr>
              <w:spacing w:line="240" w:lineRule="auto"/>
              <w:ind w:firstLine="0" w:firstLineChars="0"/>
              <w:jc w:val="center"/>
              <w:rPr>
                <w:color w:val="auto"/>
                <w:sz w:val="24"/>
                <w:szCs w:val="24"/>
              </w:rPr>
            </w:pPr>
            <w:r>
              <w:rPr>
                <w:color w:val="auto"/>
                <w:sz w:val="24"/>
                <w:szCs w:val="24"/>
              </w:rPr>
              <w:t>6.51</w:t>
            </w:r>
          </w:p>
        </w:tc>
        <w:tc>
          <w:tcPr>
            <w:tcW w:w="408" w:type="pct"/>
          </w:tcPr>
          <w:p>
            <w:pPr>
              <w:spacing w:line="240" w:lineRule="auto"/>
              <w:ind w:firstLine="0" w:firstLineChars="0"/>
              <w:jc w:val="center"/>
              <w:rPr>
                <w:color w:val="auto"/>
                <w:sz w:val="24"/>
              </w:rPr>
            </w:pPr>
            <w:r>
              <w:rPr>
                <w:color w:val="auto"/>
              </w:rPr>
              <w:t>5.22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6</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9.64</w:t>
            </w:r>
          </w:p>
        </w:tc>
        <w:tc>
          <w:tcPr>
            <w:tcW w:w="408" w:type="pct"/>
            <w:vAlign w:val="center"/>
          </w:tcPr>
          <w:p>
            <w:pPr>
              <w:spacing w:line="240" w:lineRule="auto"/>
              <w:ind w:firstLine="0" w:firstLineChars="0"/>
              <w:jc w:val="center"/>
              <w:rPr>
                <w:color w:val="auto"/>
                <w:sz w:val="24"/>
                <w:szCs w:val="24"/>
              </w:rPr>
            </w:pPr>
            <w:r>
              <w:rPr>
                <w:color w:val="auto"/>
                <w:sz w:val="24"/>
                <w:szCs w:val="24"/>
              </w:rPr>
              <w:t>8.1</w:t>
            </w:r>
          </w:p>
        </w:tc>
        <w:tc>
          <w:tcPr>
            <w:tcW w:w="408" w:type="pct"/>
          </w:tcPr>
          <w:p>
            <w:pPr>
              <w:spacing w:line="240" w:lineRule="auto"/>
              <w:ind w:firstLine="0" w:firstLineChars="0"/>
              <w:jc w:val="center"/>
              <w:rPr>
                <w:color w:val="auto"/>
                <w:sz w:val="24"/>
              </w:rPr>
            </w:pPr>
            <w:r>
              <w:rPr>
                <w:color w:val="auto"/>
              </w:rPr>
              <w:t>6.48</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8</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12.04</w:t>
            </w:r>
          </w:p>
        </w:tc>
        <w:tc>
          <w:tcPr>
            <w:tcW w:w="408" w:type="pct"/>
            <w:vAlign w:val="center"/>
          </w:tcPr>
          <w:p>
            <w:pPr>
              <w:spacing w:line="240" w:lineRule="auto"/>
              <w:ind w:firstLine="0" w:firstLineChars="0"/>
              <w:jc w:val="center"/>
              <w:rPr>
                <w:color w:val="auto"/>
                <w:sz w:val="24"/>
                <w:szCs w:val="24"/>
              </w:rPr>
            </w:pPr>
            <w:r>
              <w:rPr>
                <w:color w:val="auto"/>
                <w:sz w:val="24"/>
                <w:szCs w:val="24"/>
              </w:rPr>
              <w:t>10.9</w:t>
            </w:r>
          </w:p>
        </w:tc>
        <w:tc>
          <w:tcPr>
            <w:tcW w:w="408" w:type="pct"/>
          </w:tcPr>
          <w:p>
            <w:pPr>
              <w:spacing w:line="240" w:lineRule="auto"/>
              <w:ind w:firstLine="0" w:firstLineChars="0"/>
              <w:jc w:val="center"/>
              <w:rPr>
                <w:color w:val="auto"/>
                <w:sz w:val="24"/>
              </w:rPr>
            </w:pPr>
            <w:r>
              <w:rPr>
                <w:color w:val="auto"/>
              </w:rPr>
              <w:t>8.72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13.79</w:t>
            </w:r>
          </w:p>
        </w:tc>
        <w:tc>
          <w:tcPr>
            <w:tcW w:w="408" w:type="pct"/>
            <w:vAlign w:val="center"/>
          </w:tcPr>
          <w:p>
            <w:pPr>
              <w:spacing w:line="240" w:lineRule="auto"/>
              <w:ind w:firstLine="0" w:firstLineChars="0"/>
              <w:jc w:val="center"/>
              <w:rPr>
                <w:color w:val="auto"/>
                <w:sz w:val="24"/>
                <w:szCs w:val="24"/>
              </w:rPr>
            </w:pPr>
            <w:r>
              <w:rPr>
                <w:color w:val="auto"/>
                <w:sz w:val="24"/>
                <w:szCs w:val="24"/>
              </w:rPr>
              <w:t>12.12</w:t>
            </w:r>
          </w:p>
        </w:tc>
        <w:tc>
          <w:tcPr>
            <w:tcW w:w="408" w:type="pct"/>
          </w:tcPr>
          <w:p>
            <w:pPr>
              <w:spacing w:line="240" w:lineRule="auto"/>
              <w:ind w:firstLine="0" w:firstLineChars="0"/>
              <w:jc w:val="center"/>
              <w:rPr>
                <w:color w:val="auto"/>
                <w:sz w:val="24"/>
              </w:rPr>
            </w:pPr>
            <w:r>
              <w:rPr>
                <w:color w:val="auto"/>
              </w:rPr>
              <w:t>9.69</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12</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16.22</w:t>
            </w:r>
          </w:p>
        </w:tc>
        <w:tc>
          <w:tcPr>
            <w:tcW w:w="408" w:type="pct"/>
            <w:vAlign w:val="center"/>
          </w:tcPr>
          <w:p>
            <w:pPr>
              <w:spacing w:line="240" w:lineRule="auto"/>
              <w:ind w:firstLine="0" w:firstLineChars="0"/>
              <w:jc w:val="center"/>
              <w:rPr>
                <w:color w:val="auto"/>
                <w:sz w:val="24"/>
                <w:szCs w:val="24"/>
              </w:rPr>
            </w:pPr>
            <w:r>
              <w:rPr>
                <w:color w:val="auto"/>
                <w:sz w:val="24"/>
                <w:szCs w:val="24"/>
              </w:rPr>
              <w:t>14.55</w:t>
            </w:r>
          </w:p>
        </w:tc>
        <w:tc>
          <w:tcPr>
            <w:tcW w:w="408" w:type="pct"/>
          </w:tcPr>
          <w:p>
            <w:pPr>
              <w:spacing w:line="240" w:lineRule="auto"/>
              <w:ind w:firstLine="0" w:firstLineChars="0"/>
              <w:jc w:val="center"/>
              <w:rPr>
                <w:color w:val="auto"/>
                <w:sz w:val="24"/>
              </w:rPr>
            </w:pPr>
            <w:r>
              <w:rPr>
                <w:color w:val="auto"/>
              </w:rPr>
              <w:t>11.63</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szCs w:val="24"/>
              </w:rPr>
            </w:pPr>
            <w:r>
              <w:rPr>
                <w:color w:val="auto"/>
              </w:rPr>
              <w:t>23.04</w:t>
            </w:r>
          </w:p>
        </w:tc>
        <w:tc>
          <w:tcPr>
            <w:tcW w:w="408" w:type="pct"/>
            <w:vAlign w:val="center"/>
          </w:tcPr>
          <w:p>
            <w:pPr>
              <w:spacing w:line="240" w:lineRule="auto"/>
              <w:ind w:firstLine="0" w:firstLineChars="0"/>
              <w:jc w:val="center"/>
              <w:rPr>
                <w:color w:val="auto"/>
                <w:sz w:val="24"/>
                <w:szCs w:val="24"/>
              </w:rPr>
            </w:pPr>
            <w:r>
              <w:rPr>
                <w:color w:val="auto"/>
                <w:sz w:val="24"/>
                <w:szCs w:val="24"/>
              </w:rPr>
              <w:t>21.01</w:t>
            </w:r>
          </w:p>
        </w:tc>
        <w:tc>
          <w:tcPr>
            <w:tcW w:w="408" w:type="pct"/>
          </w:tcPr>
          <w:p>
            <w:pPr>
              <w:spacing w:line="240" w:lineRule="auto"/>
              <w:ind w:firstLine="0" w:firstLineChars="0"/>
              <w:jc w:val="center"/>
              <w:rPr>
                <w:color w:val="auto"/>
                <w:sz w:val="24"/>
              </w:rPr>
            </w:pPr>
            <w:r>
              <w:rPr>
                <w:color w:val="auto"/>
              </w:rPr>
              <w:t>16.32</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color w:val="auto"/>
                <w:sz w:val="24"/>
                <w:szCs w:val="24"/>
              </w:rPr>
              <w:t>19</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6</w:t>
            </w:r>
          </w:p>
        </w:tc>
        <w:tc>
          <w:tcPr>
            <w:tcW w:w="627" w:type="pct"/>
            <w:vAlign w:val="center"/>
          </w:tcPr>
          <w:p>
            <w:pPr>
              <w:spacing w:line="240" w:lineRule="auto"/>
              <w:ind w:firstLine="0" w:firstLineChars="0"/>
              <w:jc w:val="center"/>
              <w:rPr>
                <w:color w:val="auto"/>
                <w:sz w:val="24"/>
              </w:rPr>
            </w:pPr>
            <w:r>
              <w:rPr>
                <w:rFonts w:hint="eastAsia"/>
                <w:color w:val="auto"/>
                <w:sz w:val="24"/>
              </w:rPr>
              <w:t>夹层</w:t>
            </w:r>
            <w:r>
              <w:rPr>
                <w:color w:val="auto"/>
                <w:sz w:val="24"/>
              </w:rPr>
              <w:t>玻璃</w:t>
            </w:r>
          </w:p>
        </w:tc>
        <w:tc>
          <w:tcPr>
            <w:tcW w:w="792" w:type="pct"/>
            <w:vAlign w:val="center"/>
          </w:tcPr>
          <w:p>
            <w:pPr>
              <w:spacing w:line="240" w:lineRule="auto"/>
              <w:ind w:firstLine="0" w:firstLineChars="0"/>
              <w:jc w:val="center"/>
              <w:rPr>
                <w:color w:val="auto"/>
                <w:spacing w:val="-20"/>
                <w:sz w:val="24"/>
                <w:szCs w:val="24"/>
              </w:rPr>
            </w:pPr>
            <w:r>
              <w:rPr>
                <w:rFonts w:hint="eastAsia"/>
                <w:color w:val="auto"/>
                <w:spacing w:val="-20"/>
                <w:sz w:val="24"/>
                <w:szCs w:val="24"/>
              </w:rPr>
              <w:t>单位</w:t>
            </w:r>
            <w:r>
              <w:rPr>
                <w:color w:val="auto"/>
                <w:spacing w:val="-20"/>
                <w:sz w:val="24"/>
                <w:szCs w:val="24"/>
              </w:rPr>
              <w:t>产品</w:t>
            </w:r>
            <w:r>
              <w:rPr>
                <w:rFonts w:hint="eastAsia"/>
                <w:color w:val="auto"/>
                <w:spacing w:val="-20"/>
                <w:sz w:val="24"/>
                <w:szCs w:val="24"/>
              </w:rPr>
              <w:t>电耗（</w:t>
            </w:r>
            <w:r>
              <w:rPr>
                <w:color w:val="auto"/>
                <w:spacing w:val="-20"/>
                <w:sz w:val="24"/>
                <w:szCs w:val="24"/>
              </w:rPr>
              <w:t>kW·h/m</w:t>
            </w:r>
            <w:r>
              <w:rPr>
                <w:color w:val="auto"/>
                <w:spacing w:val="-20"/>
                <w:sz w:val="24"/>
                <w:szCs w:val="24"/>
                <w:vertAlign w:val="superscript"/>
              </w:rPr>
              <w:t>2</w:t>
            </w:r>
            <w:r>
              <w:rPr>
                <w:rFonts w:hint="eastAsia"/>
                <w:color w:val="auto"/>
                <w:spacing w:val="-20"/>
                <w:sz w:val="24"/>
                <w:szCs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4.0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szCs w:val="24"/>
              </w:rPr>
              <w:t>/</w:t>
            </w:r>
          </w:p>
        </w:tc>
        <w:tc>
          <w:tcPr>
            <w:tcW w:w="1044" w:type="pct"/>
            <w:vAlign w:val="center"/>
          </w:tcPr>
          <w:p>
            <w:pPr>
              <w:spacing w:line="240" w:lineRule="auto"/>
              <w:ind w:firstLine="0" w:firstLineChars="0"/>
              <w:jc w:val="center"/>
              <w:rPr>
                <w:color w:val="auto"/>
                <w:sz w:val="24"/>
              </w:rPr>
            </w:pPr>
            <w:r>
              <w:rPr>
                <w:rFonts w:hint="eastAsia"/>
                <w:color w:val="auto"/>
                <w:sz w:val="24"/>
              </w:rPr>
              <w:t>《绿色产品评价建筑玻璃》（GB/T 35604-2017）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7</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预拌混凝土</w:t>
            </w:r>
          </w:p>
        </w:tc>
        <w:tc>
          <w:tcPr>
            <w:tcW w:w="792" w:type="pct"/>
            <w:vAlign w:val="center"/>
          </w:tcPr>
          <w:p>
            <w:pPr>
              <w:spacing w:line="240" w:lineRule="auto"/>
              <w:ind w:firstLine="0" w:firstLineChars="0"/>
              <w:jc w:val="center"/>
              <w:rPr>
                <w:color w:val="auto"/>
                <w:sz w:val="24"/>
              </w:rPr>
            </w:pPr>
            <w:r>
              <w:rPr>
                <w:rFonts w:hint="eastAsia"/>
                <w:color w:val="auto"/>
                <w:sz w:val="24"/>
              </w:rPr>
              <w:t>生产</w:t>
            </w:r>
            <w:r>
              <w:rPr>
                <w:color w:val="auto"/>
                <w:sz w:val="24"/>
              </w:rPr>
              <w:t>能耗</w:t>
            </w:r>
            <w:r>
              <w:rPr>
                <w:rFonts w:hint="eastAsia"/>
                <w:color w:val="auto"/>
                <w:sz w:val="24"/>
              </w:rPr>
              <w:t>（kgce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1.10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0.70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0.30</w:t>
            </w:r>
          </w:p>
        </w:tc>
        <w:tc>
          <w:tcPr>
            <w:tcW w:w="1057" w:type="pct"/>
            <w:gridSpan w:val="2"/>
            <w:vMerge w:val="restart"/>
            <w:vAlign w:val="center"/>
          </w:tcPr>
          <w:p>
            <w:pPr>
              <w:spacing w:line="240" w:lineRule="auto"/>
              <w:ind w:firstLine="0" w:firstLineChars="0"/>
              <w:jc w:val="center"/>
              <w:rPr>
                <w:color w:val="auto"/>
                <w:sz w:val="24"/>
                <w:szCs w:val="24"/>
              </w:rPr>
            </w:pPr>
            <w:r>
              <w:rPr>
                <w:rFonts w:hint="eastAsia"/>
                <w:color w:val="auto"/>
                <w:sz w:val="24"/>
                <w:szCs w:val="24"/>
              </w:rPr>
              <w:t>/</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《预拌混凝土单位产品能源消耗限额》（</w:t>
            </w:r>
            <w:r>
              <w:rPr>
                <w:color w:val="auto"/>
                <w:sz w:val="24"/>
              </w:rPr>
              <w:t>GB 36888-2018</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8</w:t>
            </w:r>
          </w:p>
        </w:tc>
        <w:tc>
          <w:tcPr>
            <w:tcW w:w="627" w:type="pct"/>
            <w:vMerge w:val="continue"/>
            <w:vAlign w:val="center"/>
          </w:tcPr>
          <w:p>
            <w:pPr>
              <w:spacing w:line="240" w:lineRule="auto"/>
              <w:ind w:firstLine="0" w:firstLineChars="0"/>
              <w:jc w:val="center"/>
              <w:rPr>
                <w:color w:val="auto"/>
                <w:sz w:val="24"/>
              </w:rPr>
            </w:pPr>
          </w:p>
        </w:tc>
        <w:tc>
          <w:tcPr>
            <w:tcW w:w="792" w:type="pct"/>
            <w:vAlign w:val="center"/>
          </w:tcPr>
          <w:p>
            <w:pPr>
              <w:spacing w:line="240" w:lineRule="auto"/>
              <w:ind w:firstLine="0" w:firstLineChars="0"/>
              <w:jc w:val="center"/>
              <w:rPr>
                <w:color w:val="auto"/>
                <w:sz w:val="24"/>
              </w:rPr>
            </w:pPr>
            <w:r>
              <w:rPr>
                <w:rFonts w:hint="eastAsia"/>
                <w:color w:val="auto"/>
                <w:sz w:val="24"/>
              </w:rPr>
              <w:t>运输</w:t>
            </w:r>
            <w:r>
              <w:rPr>
                <w:color w:val="auto"/>
                <w:sz w:val="24"/>
              </w:rPr>
              <w:t>能耗</w:t>
            </w:r>
            <w:r>
              <w:rPr>
                <w:rFonts w:hint="eastAsia"/>
                <w:color w:val="auto"/>
                <w:sz w:val="24"/>
              </w:rPr>
              <w:t>（kgce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2.90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2.65</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1.85</w:t>
            </w:r>
          </w:p>
        </w:tc>
        <w:tc>
          <w:tcPr>
            <w:tcW w:w="1057" w:type="pct"/>
            <w:gridSpan w:val="2"/>
            <w:vMerge w:val="continue"/>
            <w:vAlign w:val="center"/>
          </w:tcPr>
          <w:p>
            <w:pPr>
              <w:spacing w:line="240" w:lineRule="auto"/>
              <w:ind w:firstLine="0" w:firstLineChars="0"/>
              <w:jc w:val="center"/>
              <w:rPr>
                <w:color w:val="auto"/>
                <w:sz w:val="24"/>
                <w:szCs w:val="24"/>
              </w:rPr>
            </w:pP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9</w:t>
            </w:r>
          </w:p>
        </w:tc>
        <w:tc>
          <w:tcPr>
            <w:tcW w:w="627" w:type="pct"/>
            <w:vAlign w:val="center"/>
          </w:tcPr>
          <w:p>
            <w:pPr>
              <w:spacing w:line="240" w:lineRule="auto"/>
              <w:ind w:firstLine="0" w:firstLineChars="0"/>
              <w:jc w:val="center"/>
              <w:rPr>
                <w:color w:val="auto"/>
                <w:sz w:val="24"/>
              </w:rPr>
            </w:pPr>
            <w:r>
              <w:rPr>
                <w:rFonts w:hint="eastAsia"/>
                <w:color w:val="auto"/>
                <w:sz w:val="24"/>
              </w:rPr>
              <w:t>预制</w:t>
            </w:r>
            <w:r>
              <w:rPr>
                <w:color w:val="auto"/>
                <w:sz w:val="24"/>
              </w:rPr>
              <w:t>混凝土桩</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56.6</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38.3</w:t>
            </w:r>
          </w:p>
        </w:tc>
        <w:tc>
          <w:tcPr>
            <w:tcW w:w="408" w:type="pct"/>
            <w:vAlign w:val="center"/>
          </w:tcPr>
          <w:p>
            <w:pPr>
              <w:spacing w:line="240" w:lineRule="auto"/>
              <w:ind w:firstLine="0" w:firstLineChars="0"/>
              <w:jc w:val="center"/>
              <w:rPr>
                <w:color w:val="auto"/>
                <w:sz w:val="24"/>
              </w:rPr>
            </w:pPr>
            <w:r>
              <w:rPr>
                <w:rFonts w:hint="eastAsia"/>
                <w:color w:val="auto"/>
                <w:sz w:val="24"/>
              </w:rPr>
              <w:t>32.3</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《水泥制品单位产品能源消耗限额》（</w:t>
            </w:r>
            <w:r>
              <w:rPr>
                <w:color w:val="auto"/>
                <w:sz w:val="24"/>
              </w:rPr>
              <w:t>GB 38263-2019</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10</w:t>
            </w:r>
          </w:p>
        </w:tc>
        <w:tc>
          <w:tcPr>
            <w:tcW w:w="627" w:type="pct"/>
            <w:vAlign w:val="center"/>
          </w:tcPr>
          <w:p>
            <w:pPr>
              <w:spacing w:line="240" w:lineRule="auto"/>
              <w:ind w:firstLine="0" w:firstLineChars="0"/>
              <w:jc w:val="center"/>
              <w:rPr>
                <w:color w:val="auto"/>
                <w:sz w:val="24"/>
              </w:rPr>
            </w:pPr>
            <w:r>
              <w:rPr>
                <w:rFonts w:hint="eastAsia"/>
                <w:color w:val="auto"/>
                <w:sz w:val="24"/>
              </w:rPr>
              <w:t>环形</w:t>
            </w:r>
            <w:r>
              <w:rPr>
                <w:color w:val="auto"/>
                <w:sz w:val="24"/>
              </w:rPr>
              <w:t>混凝土电杆</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72.2</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48.5</w:t>
            </w:r>
          </w:p>
        </w:tc>
        <w:tc>
          <w:tcPr>
            <w:tcW w:w="408" w:type="pct"/>
            <w:vAlign w:val="center"/>
          </w:tcPr>
          <w:p>
            <w:pPr>
              <w:spacing w:line="240" w:lineRule="auto"/>
              <w:ind w:firstLine="0" w:firstLineChars="0"/>
              <w:jc w:val="center"/>
              <w:rPr>
                <w:color w:val="auto"/>
                <w:sz w:val="24"/>
              </w:rPr>
            </w:pPr>
            <w:r>
              <w:rPr>
                <w:rFonts w:hint="eastAsia"/>
                <w:color w:val="auto"/>
                <w:sz w:val="24"/>
              </w:rPr>
              <w:t>40.4</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11</w:t>
            </w:r>
          </w:p>
        </w:tc>
        <w:tc>
          <w:tcPr>
            <w:tcW w:w="627" w:type="pct"/>
            <w:vAlign w:val="center"/>
          </w:tcPr>
          <w:p>
            <w:pPr>
              <w:spacing w:line="240" w:lineRule="auto"/>
              <w:ind w:firstLine="0" w:firstLineChars="0"/>
              <w:jc w:val="center"/>
              <w:rPr>
                <w:color w:val="auto"/>
                <w:sz w:val="24"/>
              </w:rPr>
            </w:pPr>
            <w:r>
              <w:rPr>
                <w:rFonts w:hint="eastAsia"/>
                <w:color w:val="auto"/>
                <w:sz w:val="24"/>
              </w:rPr>
              <w:t>混凝土</w:t>
            </w:r>
            <w:r>
              <w:rPr>
                <w:color w:val="auto"/>
                <w:sz w:val="24"/>
              </w:rPr>
              <w:t>和钢筋混凝土</w:t>
            </w:r>
            <w:r>
              <w:rPr>
                <w:rFonts w:hint="eastAsia"/>
                <w:color w:val="auto"/>
                <w:sz w:val="24"/>
              </w:rPr>
              <w:t>排水</w:t>
            </w:r>
            <w:r>
              <w:rPr>
                <w:color w:val="auto"/>
                <w:sz w:val="24"/>
              </w:rPr>
              <w:t>管</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49.5</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33.0</w:t>
            </w:r>
          </w:p>
        </w:tc>
        <w:tc>
          <w:tcPr>
            <w:tcW w:w="408" w:type="pct"/>
            <w:vAlign w:val="center"/>
          </w:tcPr>
          <w:p>
            <w:pPr>
              <w:spacing w:line="240" w:lineRule="auto"/>
              <w:ind w:firstLine="0" w:firstLineChars="0"/>
              <w:jc w:val="center"/>
              <w:rPr>
                <w:color w:val="auto"/>
                <w:sz w:val="24"/>
              </w:rPr>
            </w:pPr>
            <w:r>
              <w:rPr>
                <w:rFonts w:hint="eastAsia"/>
                <w:color w:val="auto"/>
                <w:sz w:val="24"/>
              </w:rPr>
              <w:t>27.5</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12</w:t>
            </w:r>
          </w:p>
        </w:tc>
        <w:tc>
          <w:tcPr>
            <w:tcW w:w="627" w:type="pct"/>
            <w:vAlign w:val="center"/>
          </w:tcPr>
          <w:p>
            <w:pPr>
              <w:spacing w:line="240" w:lineRule="auto"/>
              <w:ind w:firstLine="0" w:firstLineChars="0"/>
              <w:jc w:val="center"/>
              <w:rPr>
                <w:color w:val="auto"/>
                <w:sz w:val="24"/>
              </w:rPr>
            </w:pPr>
            <w:r>
              <w:rPr>
                <w:rFonts w:hint="eastAsia"/>
                <w:color w:val="auto"/>
                <w:sz w:val="24"/>
              </w:rPr>
              <w:t>预应力钢</w:t>
            </w:r>
            <w:r>
              <w:rPr>
                <w:color w:val="auto"/>
                <w:sz w:val="24"/>
              </w:rPr>
              <w:t>筒混凝</w:t>
            </w:r>
            <w:r>
              <w:rPr>
                <w:rFonts w:hint="eastAsia"/>
                <w:color w:val="auto"/>
                <w:sz w:val="24"/>
              </w:rPr>
              <w:t>土</w:t>
            </w:r>
            <w:r>
              <w:rPr>
                <w:color w:val="auto"/>
                <w:sz w:val="24"/>
              </w:rPr>
              <w:t>管</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66.4</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45.0</w:t>
            </w:r>
          </w:p>
        </w:tc>
        <w:tc>
          <w:tcPr>
            <w:tcW w:w="408" w:type="pct"/>
            <w:vAlign w:val="center"/>
          </w:tcPr>
          <w:p>
            <w:pPr>
              <w:spacing w:line="240" w:lineRule="auto"/>
              <w:ind w:firstLine="0" w:firstLineChars="0"/>
              <w:jc w:val="center"/>
              <w:rPr>
                <w:color w:val="auto"/>
                <w:sz w:val="24"/>
              </w:rPr>
            </w:pPr>
            <w:r>
              <w:rPr>
                <w:rFonts w:hint="eastAsia"/>
                <w:color w:val="auto"/>
                <w:sz w:val="24"/>
              </w:rPr>
              <w:t>37.5</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13</w:t>
            </w:r>
          </w:p>
        </w:tc>
        <w:tc>
          <w:tcPr>
            <w:tcW w:w="627" w:type="pct"/>
            <w:vAlign w:val="center"/>
          </w:tcPr>
          <w:p>
            <w:pPr>
              <w:spacing w:line="240" w:lineRule="auto"/>
              <w:ind w:firstLine="0" w:firstLineChars="0"/>
              <w:jc w:val="center"/>
              <w:rPr>
                <w:color w:val="auto"/>
                <w:sz w:val="24"/>
              </w:rPr>
            </w:pPr>
            <w:r>
              <w:rPr>
                <w:rFonts w:hint="eastAsia"/>
                <w:color w:val="auto"/>
                <w:sz w:val="24"/>
              </w:rPr>
              <w:t>加气</w:t>
            </w:r>
            <w:r>
              <w:rPr>
                <w:color w:val="auto"/>
                <w:sz w:val="24"/>
              </w:rPr>
              <w:t>混凝土</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37.3</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25.2</w:t>
            </w:r>
          </w:p>
        </w:tc>
        <w:tc>
          <w:tcPr>
            <w:tcW w:w="408" w:type="pct"/>
            <w:vAlign w:val="center"/>
          </w:tcPr>
          <w:p>
            <w:pPr>
              <w:spacing w:line="240" w:lineRule="auto"/>
              <w:ind w:firstLine="0" w:firstLineChars="0"/>
              <w:jc w:val="center"/>
              <w:rPr>
                <w:color w:val="auto"/>
                <w:sz w:val="24"/>
              </w:rPr>
            </w:pPr>
            <w:r>
              <w:rPr>
                <w:rFonts w:hint="eastAsia"/>
                <w:color w:val="auto"/>
                <w:sz w:val="24"/>
              </w:rPr>
              <w:t>21.0</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14</w:t>
            </w:r>
          </w:p>
        </w:tc>
        <w:tc>
          <w:tcPr>
            <w:tcW w:w="627" w:type="pct"/>
            <w:vAlign w:val="center"/>
          </w:tcPr>
          <w:p>
            <w:pPr>
              <w:spacing w:line="240" w:lineRule="auto"/>
              <w:ind w:firstLine="0" w:firstLineChars="0"/>
              <w:jc w:val="center"/>
              <w:rPr>
                <w:color w:val="auto"/>
                <w:sz w:val="24"/>
              </w:rPr>
            </w:pPr>
            <w:r>
              <w:rPr>
                <w:rFonts w:hint="eastAsia"/>
                <w:color w:val="auto"/>
                <w:sz w:val="24"/>
              </w:rPr>
              <w:t>硅酸钙板</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131.0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93.0</w:t>
            </w:r>
          </w:p>
        </w:tc>
        <w:tc>
          <w:tcPr>
            <w:tcW w:w="408" w:type="pct"/>
            <w:vAlign w:val="center"/>
          </w:tcPr>
          <w:p>
            <w:pPr>
              <w:spacing w:line="240" w:lineRule="auto"/>
              <w:ind w:firstLine="0" w:firstLineChars="0"/>
              <w:jc w:val="center"/>
              <w:rPr>
                <w:color w:val="auto"/>
                <w:sz w:val="24"/>
              </w:rPr>
            </w:pPr>
            <w:r>
              <w:rPr>
                <w:rFonts w:hint="eastAsia"/>
                <w:color w:val="auto"/>
                <w:sz w:val="24"/>
              </w:rPr>
              <w:t>77.5</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15</w:t>
            </w:r>
          </w:p>
        </w:tc>
        <w:tc>
          <w:tcPr>
            <w:tcW w:w="627" w:type="pct"/>
            <w:vAlign w:val="center"/>
          </w:tcPr>
          <w:p>
            <w:pPr>
              <w:spacing w:line="240" w:lineRule="auto"/>
              <w:ind w:firstLine="0" w:firstLineChars="0"/>
              <w:jc w:val="center"/>
              <w:rPr>
                <w:color w:val="auto"/>
                <w:sz w:val="24"/>
              </w:rPr>
            </w:pPr>
            <w:r>
              <w:rPr>
                <w:rFonts w:hint="eastAsia"/>
                <w:color w:val="auto"/>
                <w:sz w:val="24"/>
              </w:rPr>
              <w:t>预制</w:t>
            </w:r>
            <w:r>
              <w:rPr>
                <w:color w:val="auto"/>
                <w:sz w:val="24"/>
              </w:rPr>
              <w:t>混凝土衬</w:t>
            </w:r>
            <w:r>
              <w:rPr>
                <w:rFonts w:hint="eastAsia"/>
                <w:color w:val="auto"/>
                <w:sz w:val="24"/>
              </w:rPr>
              <w:t>砌管片</w:t>
            </w:r>
          </w:p>
        </w:tc>
        <w:tc>
          <w:tcPr>
            <w:tcW w:w="792" w:type="pc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m</w:t>
            </w:r>
            <w:r>
              <w:rPr>
                <w:color w:val="auto"/>
                <w:sz w:val="24"/>
                <w:vertAlign w:val="superscript"/>
              </w:rPr>
              <w:t>3</w:t>
            </w:r>
            <w:r>
              <w:rPr>
                <w:rFonts w:hint="eastAsia"/>
                <w:color w:val="auto"/>
                <w:sz w:val="24"/>
              </w:rPr>
              <w: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21.0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15.0</w:t>
            </w:r>
          </w:p>
        </w:tc>
        <w:tc>
          <w:tcPr>
            <w:tcW w:w="408" w:type="pct"/>
            <w:vAlign w:val="center"/>
          </w:tcPr>
          <w:p>
            <w:pPr>
              <w:spacing w:line="240" w:lineRule="auto"/>
              <w:ind w:firstLine="0" w:firstLineChars="0"/>
              <w:jc w:val="center"/>
              <w:rPr>
                <w:color w:val="auto"/>
                <w:sz w:val="24"/>
              </w:rPr>
            </w:pPr>
            <w:r>
              <w:rPr>
                <w:rFonts w:hint="eastAsia"/>
                <w:color w:val="auto"/>
                <w:sz w:val="24"/>
              </w:rPr>
              <w:t>12.5</w:t>
            </w:r>
          </w:p>
        </w:tc>
        <w:tc>
          <w:tcPr>
            <w:tcW w:w="1057" w:type="pct"/>
            <w:gridSpan w:val="2"/>
            <w:vAlign w:val="center"/>
          </w:tcPr>
          <w:p>
            <w:pPr>
              <w:spacing w:line="240" w:lineRule="auto"/>
              <w:ind w:firstLine="0" w:firstLineChars="0"/>
              <w:jc w:val="center"/>
              <w:rPr>
                <w:color w:val="auto"/>
                <w:sz w:val="24"/>
                <w:szCs w:val="24"/>
              </w:rPr>
            </w:pP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color w:val="auto"/>
                <w:sz w:val="24"/>
              </w:rPr>
              <w:t>16</w:t>
            </w:r>
          </w:p>
        </w:tc>
        <w:tc>
          <w:tcPr>
            <w:tcW w:w="627" w:type="pct"/>
            <w:vAlign w:val="center"/>
          </w:tcPr>
          <w:p>
            <w:pPr>
              <w:spacing w:line="240" w:lineRule="auto"/>
              <w:ind w:firstLine="0" w:firstLineChars="0"/>
              <w:jc w:val="center"/>
              <w:rPr>
                <w:color w:val="auto"/>
                <w:sz w:val="24"/>
              </w:rPr>
            </w:pPr>
            <w:r>
              <w:rPr>
                <w:rFonts w:hint="eastAsia"/>
                <w:color w:val="auto"/>
                <w:sz w:val="24"/>
              </w:rPr>
              <w:t>碳酸饮料</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20</w:t>
            </w:r>
          </w:p>
        </w:tc>
        <w:tc>
          <w:tcPr>
            <w:tcW w:w="408" w:type="pct"/>
            <w:vAlign w:val="center"/>
          </w:tcPr>
          <w:p>
            <w:pPr>
              <w:spacing w:line="240" w:lineRule="auto"/>
              <w:ind w:firstLine="0" w:firstLineChars="0"/>
              <w:jc w:val="center"/>
              <w:rPr>
                <w:color w:val="auto"/>
                <w:sz w:val="24"/>
              </w:rPr>
            </w:pPr>
            <w:r>
              <w:rPr>
                <w:rFonts w:hint="eastAsia"/>
                <w:color w:val="auto"/>
                <w:sz w:val="24"/>
                <w:szCs w:val="24"/>
              </w:rPr>
              <w:t>15</w:t>
            </w:r>
          </w:p>
        </w:tc>
        <w:tc>
          <w:tcPr>
            <w:tcW w:w="408" w:type="pct"/>
            <w:vAlign w:val="center"/>
          </w:tcPr>
          <w:p>
            <w:pPr>
              <w:spacing w:line="240" w:lineRule="auto"/>
              <w:ind w:firstLine="0" w:firstLineChars="0"/>
              <w:jc w:val="center"/>
              <w:rPr>
                <w:color w:val="auto"/>
                <w:sz w:val="21"/>
              </w:rPr>
            </w:pPr>
            <w:r>
              <w:rPr>
                <w:rFonts w:hint="eastAsia"/>
                <w:color w:val="auto"/>
                <w:sz w:val="21"/>
              </w:rPr>
              <w:t>9</w:t>
            </w:r>
          </w:p>
        </w:tc>
        <w:tc>
          <w:tcPr>
            <w:tcW w:w="1057" w:type="pct"/>
            <w:gridSpan w:val="2"/>
            <w:vAlign w:val="center"/>
          </w:tcPr>
          <w:p>
            <w:pPr>
              <w:spacing w:line="240" w:lineRule="auto"/>
              <w:ind w:firstLine="0" w:firstLineChars="0"/>
              <w:rPr>
                <w:color w:val="auto"/>
                <w:sz w:val="22"/>
              </w:rPr>
            </w:pPr>
            <w:r>
              <w:rPr>
                <w:rFonts w:hint="eastAsia"/>
                <w:color w:val="auto"/>
                <w:sz w:val="22"/>
              </w:rPr>
              <w:t>调节系数：自制PET瓶2；外购PET瓶坯，自吹瓶1.6；回收玻璃瓶3</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《饮料制造综合能耗限额》（QBT 4069-2010）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w:t>
            </w:r>
            <w:r>
              <w:rPr>
                <w:color w:val="auto"/>
                <w:sz w:val="24"/>
              </w:rPr>
              <w:t>7</w:t>
            </w:r>
          </w:p>
        </w:tc>
        <w:tc>
          <w:tcPr>
            <w:tcW w:w="627" w:type="pct"/>
            <w:vAlign w:val="center"/>
          </w:tcPr>
          <w:p>
            <w:pPr>
              <w:spacing w:line="240" w:lineRule="auto"/>
              <w:ind w:firstLine="0" w:firstLineChars="0"/>
              <w:jc w:val="center"/>
              <w:rPr>
                <w:color w:val="auto"/>
                <w:sz w:val="24"/>
              </w:rPr>
            </w:pPr>
            <w:r>
              <w:rPr>
                <w:rFonts w:hint="eastAsia"/>
                <w:color w:val="auto"/>
                <w:sz w:val="24"/>
                <w:szCs w:val="24"/>
              </w:rPr>
              <w:t>包装</w:t>
            </w:r>
            <w:r>
              <w:rPr>
                <w:color w:val="auto"/>
                <w:sz w:val="24"/>
                <w:szCs w:val="24"/>
              </w:rPr>
              <w:t>饮用水</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8</w:t>
            </w:r>
          </w:p>
        </w:tc>
        <w:tc>
          <w:tcPr>
            <w:tcW w:w="408" w:type="pct"/>
            <w:vAlign w:val="center"/>
          </w:tcPr>
          <w:p>
            <w:pPr>
              <w:spacing w:line="240" w:lineRule="auto"/>
              <w:ind w:firstLine="0" w:firstLineChars="0"/>
              <w:jc w:val="center"/>
              <w:rPr>
                <w:color w:val="auto"/>
                <w:sz w:val="24"/>
              </w:rPr>
            </w:pPr>
            <w:r>
              <w:rPr>
                <w:color w:val="auto"/>
                <w:sz w:val="24"/>
                <w:szCs w:val="24"/>
              </w:rPr>
              <w:t>5</w:t>
            </w:r>
          </w:p>
        </w:tc>
        <w:tc>
          <w:tcPr>
            <w:tcW w:w="408" w:type="pct"/>
            <w:vAlign w:val="center"/>
          </w:tcPr>
          <w:p>
            <w:pPr>
              <w:spacing w:line="240" w:lineRule="auto"/>
              <w:ind w:firstLine="0" w:firstLineChars="0"/>
              <w:jc w:val="center"/>
              <w:rPr>
                <w:color w:val="auto"/>
                <w:sz w:val="21"/>
              </w:rPr>
            </w:pPr>
            <w:r>
              <w:rPr>
                <w:rFonts w:hint="eastAsia"/>
                <w:color w:val="auto"/>
                <w:sz w:val="21"/>
              </w:rPr>
              <w:t>3</w:t>
            </w:r>
          </w:p>
        </w:tc>
        <w:tc>
          <w:tcPr>
            <w:tcW w:w="1057" w:type="pct"/>
            <w:gridSpan w:val="2"/>
            <w:vAlign w:val="center"/>
          </w:tcPr>
          <w:p>
            <w:pPr>
              <w:spacing w:line="240" w:lineRule="auto"/>
              <w:ind w:firstLine="0" w:firstLineChars="0"/>
              <w:rPr>
                <w:color w:val="auto"/>
                <w:sz w:val="22"/>
              </w:rPr>
            </w:pPr>
            <w:r>
              <w:rPr>
                <w:rFonts w:hint="eastAsia"/>
                <w:color w:val="auto"/>
                <w:sz w:val="22"/>
              </w:rPr>
              <w:t>调节系数</w:t>
            </w:r>
            <w:r>
              <w:rPr>
                <w:color w:val="auto"/>
                <w:sz w:val="22"/>
              </w:rPr>
              <w:t>：</w:t>
            </w:r>
            <w:r>
              <w:rPr>
                <w:rFonts w:hint="eastAsia"/>
                <w:color w:val="auto"/>
                <w:sz w:val="22"/>
              </w:rPr>
              <w:t>自制PET瓶3；外购PET瓶坯，自吹瓶2.2；桶装水0.6</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w:t>
            </w:r>
            <w:r>
              <w:rPr>
                <w:color w:val="auto"/>
                <w:sz w:val="24"/>
              </w:rPr>
              <w:t>8</w:t>
            </w:r>
          </w:p>
        </w:tc>
        <w:tc>
          <w:tcPr>
            <w:tcW w:w="627" w:type="pct"/>
            <w:vAlign w:val="center"/>
          </w:tcPr>
          <w:p>
            <w:pPr>
              <w:spacing w:line="300" w:lineRule="exact"/>
              <w:ind w:firstLine="0" w:firstLineChars="0"/>
              <w:jc w:val="center"/>
              <w:rPr>
                <w:color w:val="auto"/>
                <w:sz w:val="22"/>
              </w:rPr>
            </w:pPr>
            <w:r>
              <w:rPr>
                <w:rFonts w:hint="eastAsia"/>
                <w:color w:val="auto"/>
                <w:sz w:val="22"/>
              </w:rPr>
              <w:t>茶饮料</w:t>
            </w:r>
          </w:p>
          <w:p>
            <w:pPr>
              <w:spacing w:line="300" w:lineRule="exact"/>
              <w:ind w:firstLine="0" w:firstLineChars="0"/>
              <w:jc w:val="center"/>
              <w:rPr>
                <w:color w:val="auto"/>
                <w:sz w:val="22"/>
              </w:rPr>
            </w:pPr>
            <w:r>
              <w:rPr>
                <w:rFonts w:hint="eastAsia"/>
                <w:color w:val="auto"/>
                <w:sz w:val="22"/>
              </w:rPr>
              <w:t>果蔬汁饮料</w:t>
            </w:r>
          </w:p>
          <w:p>
            <w:pPr>
              <w:spacing w:line="300" w:lineRule="exact"/>
              <w:ind w:firstLine="0" w:firstLineChars="0"/>
              <w:jc w:val="center"/>
              <w:rPr>
                <w:color w:val="auto"/>
                <w:sz w:val="22"/>
              </w:rPr>
            </w:pPr>
            <w:r>
              <w:rPr>
                <w:rFonts w:hint="eastAsia"/>
                <w:color w:val="auto"/>
                <w:sz w:val="22"/>
              </w:rPr>
              <w:t>特殊用途饮料</w:t>
            </w:r>
          </w:p>
          <w:p>
            <w:pPr>
              <w:spacing w:line="300" w:lineRule="exact"/>
              <w:ind w:firstLine="0" w:firstLineChars="0"/>
              <w:jc w:val="center"/>
              <w:rPr>
                <w:color w:val="auto"/>
                <w:sz w:val="22"/>
              </w:rPr>
            </w:pPr>
            <w:r>
              <w:rPr>
                <w:rFonts w:hint="eastAsia"/>
                <w:color w:val="auto"/>
                <w:sz w:val="22"/>
              </w:rPr>
              <w:t>风味饮料</w:t>
            </w:r>
          </w:p>
          <w:p>
            <w:pPr>
              <w:spacing w:line="300" w:lineRule="exact"/>
              <w:ind w:firstLine="0" w:firstLineChars="0"/>
              <w:jc w:val="center"/>
              <w:rPr>
                <w:color w:val="auto"/>
                <w:sz w:val="22"/>
              </w:rPr>
            </w:pPr>
            <w:r>
              <w:rPr>
                <w:rFonts w:hint="eastAsia"/>
                <w:color w:val="auto"/>
                <w:sz w:val="22"/>
              </w:rPr>
              <w:t>植物饮料</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40</w:t>
            </w:r>
          </w:p>
        </w:tc>
        <w:tc>
          <w:tcPr>
            <w:tcW w:w="408" w:type="pct"/>
            <w:vAlign w:val="center"/>
          </w:tcPr>
          <w:p>
            <w:pPr>
              <w:spacing w:line="240" w:lineRule="auto"/>
              <w:ind w:firstLine="0" w:firstLineChars="0"/>
              <w:jc w:val="center"/>
              <w:rPr>
                <w:color w:val="auto"/>
                <w:sz w:val="24"/>
              </w:rPr>
            </w:pPr>
            <w:r>
              <w:rPr>
                <w:rFonts w:hint="eastAsia"/>
                <w:color w:val="auto"/>
                <w:sz w:val="24"/>
                <w:szCs w:val="24"/>
              </w:rPr>
              <w:t>30</w:t>
            </w:r>
          </w:p>
        </w:tc>
        <w:tc>
          <w:tcPr>
            <w:tcW w:w="408" w:type="pct"/>
            <w:vAlign w:val="center"/>
          </w:tcPr>
          <w:p>
            <w:pPr>
              <w:spacing w:line="240" w:lineRule="auto"/>
              <w:ind w:firstLine="0" w:firstLineChars="0"/>
              <w:jc w:val="center"/>
              <w:rPr>
                <w:color w:val="auto"/>
                <w:sz w:val="21"/>
              </w:rPr>
            </w:pPr>
            <w:r>
              <w:rPr>
                <w:rFonts w:hint="eastAsia"/>
                <w:color w:val="auto"/>
                <w:sz w:val="21"/>
              </w:rPr>
              <w:t>20</w:t>
            </w:r>
          </w:p>
        </w:tc>
        <w:tc>
          <w:tcPr>
            <w:tcW w:w="1057" w:type="pct"/>
            <w:gridSpan w:val="2"/>
            <w:vAlign w:val="center"/>
          </w:tcPr>
          <w:p>
            <w:pPr>
              <w:spacing w:line="240" w:lineRule="auto"/>
              <w:ind w:firstLine="0" w:firstLineChars="0"/>
              <w:rPr>
                <w:color w:val="auto"/>
                <w:sz w:val="22"/>
              </w:rPr>
            </w:pPr>
            <w:r>
              <w:rPr>
                <w:rFonts w:hint="eastAsia"/>
                <w:color w:val="auto"/>
                <w:sz w:val="22"/>
              </w:rPr>
              <w:t>调节</w:t>
            </w:r>
            <w:r>
              <w:rPr>
                <w:color w:val="auto"/>
                <w:sz w:val="22"/>
              </w:rPr>
              <w:t>系数：</w:t>
            </w:r>
            <w:r>
              <w:rPr>
                <w:rFonts w:hint="eastAsia"/>
                <w:color w:val="auto"/>
                <w:sz w:val="22"/>
              </w:rPr>
              <w:t>自制PET瓶1.5；外购PET瓶坯，自吹瓶1.2；纸塑复合包装、无菌灌装0.9；采用萃取工艺1.3；采用果蔬原料直接生产2.5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rFonts w:hint="eastAsia"/>
                <w:color w:val="auto"/>
                <w:sz w:val="24"/>
              </w:rPr>
              <w:t>1</w:t>
            </w:r>
            <w:r>
              <w:rPr>
                <w:color w:val="auto"/>
                <w:sz w:val="24"/>
              </w:rPr>
              <w:t>9</w:t>
            </w:r>
          </w:p>
        </w:tc>
        <w:tc>
          <w:tcPr>
            <w:tcW w:w="627" w:type="pct"/>
            <w:vAlign w:val="center"/>
          </w:tcPr>
          <w:p>
            <w:pPr>
              <w:spacing w:line="300" w:lineRule="exact"/>
              <w:ind w:firstLine="0" w:firstLineChars="0"/>
              <w:jc w:val="center"/>
              <w:rPr>
                <w:color w:val="auto"/>
                <w:sz w:val="22"/>
              </w:rPr>
            </w:pPr>
            <w:r>
              <w:rPr>
                <w:rFonts w:hint="eastAsia"/>
                <w:color w:val="auto"/>
                <w:sz w:val="22"/>
              </w:rPr>
              <w:t>植物蛋白饮料</w:t>
            </w:r>
          </w:p>
          <w:p>
            <w:pPr>
              <w:spacing w:line="300" w:lineRule="exact"/>
              <w:ind w:firstLine="0" w:firstLineChars="0"/>
              <w:jc w:val="center"/>
              <w:rPr>
                <w:color w:val="auto"/>
                <w:sz w:val="22"/>
              </w:rPr>
            </w:pPr>
            <w:r>
              <w:rPr>
                <w:rFonts w:hint="eastAsia"/>
                <w:color w:val="auto"/>
                <w:sz w:val="22"/>
              </w:rPr>
              <w:t>复合蛋白饮料</w:t>
            </w:r>
          </w:p>
          <w:p>
            <w:pPr>
              <w:spacing w:line="300" w:lineRule="exact"/>
              <w:ind w:firstLine="0" w:firstLineChars="0"/>
              <w:jc w:val="center"/>
              <w:rPr>
                <w:color w:val="auto"/>
                <w:sz w:val="22"/>
              </w:rPr>
            </w:pPr>
            <w:r>
              <w:rPr>
                <w:rFonts w:hint="eastAsia"/>
                <w:color w:val="auto"/>
                <w:sz w:val="22"/>
              </w:rPr>
              <w:t>咖啡饮料</w:t>
            </w:r>
          </w:p>
          <w:p>
            <w:pPr>
              <w:spacing w:line="300" w:lineRule="exact"/>
              <w:ind w:firstLine="0" w:firstLineChars="0"/>
              <w:jc w:val="center"/>
              <w:rPr>
                <w:color w:val="auto"/>
                <w:sz w:val="22"/>
              </w:rPr>
            </w:pPr>
            <w:r>
              <w:rPr>
                <w:rFonts w:hint="eastAsia"/>
                <w:color w:val="auto"/>
                <w:sz w:val="22"/>
              </w:rPr>
              <w:t>谷物饮料</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rPr>
            </w:pPr>
            <w:r>
              <w:rPr>
                <w:rFonts w:hint="eastAsia"/>
                <w:color w:val="auto"/>
                <w:sz w:val="24"/>
              </w:rPr>
              <w:t>70</w:t>
            </w:r>
          </w:p>
        </w:tc>
        <w:tc>
          <w:tcPr>
            <w:tcW w:w="408" w:type="pct"/>
            <w:vAlign w:val="center"/>
          </w:tcPr>
          <w:p>
            <w:pPr>
              <w:spacing w:line="240" w:lineRule="auto"/>
              <w:ind w:firstLine="0" w:firstLineChars="0"/>
              <w:jc w:val="center"/>
              <w:rPr>
                <w:color w:val="auto"/>
                <w:sz w:val="24"/>
              </w:rPr>
            </w:pPr>
            <w:r>
              <w:rPr>
                <w:rFonts w:hint="eastAsia"/>
                <w:color w:val="auto"/>
                <w:sz w:val="24"/>
              </w:rPr>
              <w:t>60</w:t>
            </w:r>
          </w:p>
        </w:tc>
        <w:tc>
          <w:tcPr>
            <w:tcW w:w="408" w:type="pct"/>
            <w:vAlign w:val="center"/>
          </w:tcPr>
          <w:p>
            <w:pPr>
              <w:spacing w:line="240" w:lineRule="auto"/>
              <w:ind w:firstLine="0" w:firstLineChars="0"/>
              <w:jc w:val="center"/>
              <w:rPr>
                <w:color w:val="auto"/>
                <w:sz w:val="21"/>
              </w:rPr>
            </w:pPr>
            <w:r>
              <w:rPr>
                <w:rFonts w:hint="eastAsia"/>
                <w:color w:val="auto"/>
                <w:sz w:val="21"/>
              </w:rPr>
              <w:t>50</w:t>
            </w:r>
          </w:p>
        </w:tc>
        <w:tc>
          <w:tcPr>
            <w:tcW w:w="1057" w:type="pct"/>
            <w:gridSpan w:val="2"/>
            <w:vAlign w:val="center"/>
          </w:tcPr>
          <w:p>
            <w:pPr>
              <w:spacing w:line="240" w:lineRule="auto"/>
              <w:ind w:firstLine="0" w:firstLineChars="0"/>
              <w:rPr>
                <w:color w:val="auto"/>
                <w:sz w:val="22"/>
              </w:rPr>
            </w:pPr>
            <w:r>
              <w:rPr>
                <w:rFonts w:hint="eastAsia"/>
                <w:color w:val="auto"/>
                <w:sz w:val="22"/>
              </w:rPr>
              <w:t>调节</w:t>
            </w:r>
            <w:r>
              <w:rPr>
                <w:color w:val="auto"/>
                <w:sz w:val="22"/>
              </w:rPr>
              <w:t>系数：</w:t>
            </w:r>
            <w:r>
              <w:rPr>
                <w:rFonts w:hint="eastAsia"/>
                <w:color w:val="auto"/>
                <w:sz w:val="22"/>
              </w:rPr>
              <w:t>纸塑复合包装，无菌包装0.8；PET瓶外购，无菌灌装0.8；外购PET瓶坯自吹瓶、无菌灌装0.9；自制PP瓶1.1</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color w:val="auto"/>
                <w:sz w:val="24"/>
                <w:szCs w:val="24"/>
              </w:rPr>
              <w:t>20</w:t>
            </w:r>
          </w:p>
        </w:tc>
        <w:tc>
          <w:tcPr>
            <w:tcW w:w="627" w:type="pct"/>
            <w:vAlign w:val="center"/>
          </w:tcPr>
          <w:p>
            <w:pPr>
              <w:spacing w:line="240" w:lineRule="auto"/>
              <w:ind w:firstLine="0" w:firstLineChars="0"/>
              <w:jc w:val="center"/>
              <w:rPr>
                <w:color w:val="auto"/>
                <w:sz w:val="24"/>
              </w:rPr>
            </w:pPr>
            <w:r>
              <w:rPr>
                <w:rFonts w:hint="eastAsia"/>
                <w:color w:val="auto"/>
                <w:sz w:val="24"/>
              </w:rPr>
              <w:t>含乳饮料</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rPr>
            </w:pPr>
            <w:r>
              <w:rPr>
                <w:rFonts w:hint="eastAsia"/>
                <w:color w:val="auto"/>
                <w:sz w:val="24"/>
              </w:rPr>
              <w:t>65</w:t>
            </w:r>
          </w:p>
        </w:tc>
        <w:tc>
          <w:tcPr>
            <w:tcW w:w="408" w:type="pct"/>
            <w:vAlign w:val="center"/>
          </w:tcPr>
          <w:p>
            <w:pPr>
              <w:spacing w:line="240" w:lineRule="auto"/>
              <w:ind w:firstLine="0" w:firstLineChars="0"/>
              <w:jc w:val="center"/>
              <w:rPr>
                <w:color w:val="auto"/>
                <w:sz w:val="24"/>
              </w:rPr>
            </w:pPr>
            <w:r>
              <w:rPr>
                <w:rFonts w:hint="eastAsia"/>
                <w:color w:val="auto"/>
                <w:sz w:val="24"/>
              </w:rPr>
              <w:t>55</w:t>
            </w:r>
          </w:p>
        </w:tc>
        <w:tc>
          <w:tcPr>
            <w:tcW w:w="408" w:type="pct"/>
            <w:vAlign w:val="center"/>
          </w:tcPr>
          <w:p>
            <w:pPr>
              <w:spacing w:line="240" w:lineRule="auto"/>
              <w:ind w:firstLine="0" w:firstLineChars="0"/>
              <w:jc w:val="center"/>
              <w:rPr>
                <w:color w:val="auto"/>
                <w:sz w:val="21"/>
              </w:rPr>
            </w:pPr>
            <w:r>
              <w:rPr>
                <w:rFonts w:hint="eastAsia"/>
                <w:color w:val="auto"/>
                <w:sz w:val="21"/>
              </w:rPr>
              <w:t>45</w:t>
            </w:r>
          </w:p>
        </w:tc>
        <w:tc>
          <w:tcPr>
            <w:tcW w:w="1057" w:type="pct"/>
            <w:gridSpan w:val="2"/>
            <w:vAlign w:val="center"/>
          </w:tcPr>
          <w:p>
            <w:pPr>
              <w:spacing w:line="240" w:lineRule="auto"/>
              <w:ind w:firstLine="0" w:firstLineChars="0"/>
              <w:rPr>
                <w:color w:val="auto"/>
                <w:sz w:val="22"/>
              </w:rPr>
            </w:pPr>
            <w:r>
              <w:rPr>
                <w:rFonts w:hint="eastAsia"/>
                <w:color w:val="auto"/>
                <w:sz w:val="22"/>
              </w:rPr>
              <w:t>调节</w:t>
            </w:r>
            <w:r>
              <w:rPr>
                <w:color w:val="auto"/>
                <w:sz w:val="22"/>
              </w:rPr>
              <w:t>系数：</w:t>
            </w:r>
            <w:r>
              <w:rPr>
                <w:rFonts w:hint="eastAsia"/>
                <w:color w:val="auto"/>
                <w:sz w:val="22"/>
              </w:rPr>
              <w:t>纸塑复合包装或塑料袋，无菌包装0.8；PET瓶外购，无菌灌装0.8；外购PET瓶坯自吹瓶、无菌灌装0.9；自制HDPE瓶1.1；超洁净热灌装1.1；添加直接萃取植物成分1.1；原料为奶粉0.85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szCs w:val="24"/>
              </w:rPr>
            </w:pPr>
            <w:r>
              <w:rPr>
                <w:color w:val="auto"/>
                <w:sz w:val="24"/>
              </w:rPr>
              <w:t>21</w:t>
            </w:r>
          </w:p>
        </w:tc>
        <w:tc>
          <w:tcPr>
            <w:tcW w:w="627" w:type="pct"/>
            <w:vAlign w:val="center"/>
          </w:tcPr>
          <w:p>
            <w:pPr>
              <w:spacing w:line="240" w:lineRule="auto"/>
              <w:ind w:firstLine="0" w:firstLineChars="0"/>
              <w:jc w:val="center"/>
              <w:rPr>
                <w:color w:val="auto"/>
                <w:sz w:val="24"/>
              </w:rPr>
            </w:pPr>
            <w:r>
              <w:rPr>
                <w:rFonts w:hint="eastAsia"/>
                <w:color w:val="auto"/>
                <w:sz w:val="24"/>
              </w:rPr>
              <w:t>浓缩果蔬汁</w:t>
            </w:r>
          </w:p>
          <w:p>
            <w:pPr>
              <w:spacing w:line="240" w:lineRule="auto"/>
              <w:ind w:firstLine="0" w:firstLineChars="0"/>
              <w:jc w:val="center"/>
              <w:rPr>
                <w:color w:val="auto"/>
                <w:sz w:val="24"/>
              </w:rPr>
            </w:pPr>
            <w:r>
              <w:rPr>
                <w:rFonts w:hint="eastAsia"/>
                <w:color w:val="auto"/>
                <w:sz w:val="24"/>
              </w:rPr>
              <w:t>果蔬原浆</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rPr>
            </w:pPr>
            <w:r>
              <w:rPr>
                <w:rFonts w:hint="eastAsia"/>
                <w:color w:val="auto"/>
                <w:sz w:val="24"/>
              </w:rPr>
              <w:t>600</w:t>
            </w:r>
          </w:p>
        </w:tc>
        <w:tc>
          <w:tcPr>
            <w:tcW w:w="408" w:type="pct"/>
            <w:vAlign w:val="center"/>
          </w:tcPr>
          <w:p>
            <w:pPr>
              <w:spacing w:line="240" w:lineRule="auto"/>
              <w:ind w:firstLine="0" w:firstLineChars="0"/>
              <w:jc w:val="center"/>
              <w:rPr>
                <w:color w:val="auto"/>
                <w:sz w:val="24"/>
              </w:rPr>
            </w:pPr>
            <w:r>
              <w:rPr>
                <w:rFonts w:hint="eastAsia"/>
                <w:color w:val="auto"/>
                <w:sz w:val="24"/>
              </w:rPr>
              <w:t>500</w:t>
            </w:r>
          </w:p>
        </w:tc>
        <w:tc>
          <w:tcPr>
            <w:tcW w:w="408" w:type="pct"/>
            <w:vAlign w:val="center"/>
          </w:tcPr>
          <w:p>
            <w:pPr>
              <w:spacing w:line="240" w:lineRule="auto"/>
              <w:ind w:firstLine="0" w:firstLineChars="0"/>
              <w:jc w:val="center"/>
              <w:rPr>
                <w:color w:val="auto"/>
                <w:sz w:val="24"/>
              </w:rPr>
            </w:pPr>
            <w:r>
              <w:rPr>
                <w:rFonts w:hint="eastAsia"/>
                <w:color w:val="auto"/>
                <w:sz w:val="24"/>
              </w:rPr>
              <w:t>400</w:t>
            </w:r>
          </w:p>
        </w:tc>
        <w:tc>
          <w:tcPr>
            <w:tcW w:w="1057" w:type="pct"/>
            <w:gridSpan w:val="2"/>
            <w:vAlign w:val="center"/>
          </w:tcPr>
          <w:p>
            <w:pPr>
              <w:spacing w:line="240" w:lineRule="auto"/>
              <w:ind w:firstLine="0" w:firstLineChars="0"/>
              <w:jc w:val="center"/>
              <w:rPr>
                <w:color w:val="auto"/>
                <w:sz w:val="21"/>
              </w:rPr>
            </w:pPr>
            <w:r>
              <w:rPr>
                <w:rFonts w:hint="eastAsia"/>
                <w:color w:val="auto"/>
                <w:sz w:val="24"/>
              </w:rPr>
              <w:t>果蔬原浆0.15</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color w:val="auto"/>
                <w:sz w:val="24"/>
              </w:rPr>
              <w:t>22</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白酒</w:t>
            </w:r>
          </w:p>
        </w:tc>
        <w:tc>
          <w:tcPr>
            <w:tcW w:w="792" w:type="pct"/>
            <w:vMerge w:val="restar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kl</w:t>
            </w:r>
            <w:r>
              <w:rPr>
                <w:rFonts w:hint="eastAsia"/>
                <w:color w:val="auto"/>
                <w:sz w:val="24"/>
              </w:rPr>
              <w:t>）</w:t>
            </w:r>
          </w:p>
        </w:tc>
        <w:tc>
          <w:tcPr>
            <w:tcW w:w="408" w:type="pct"/>
            <w:vAlign w:val="center"/>
          </w:tcPr>
          <w:p>
            <w:pPr>
              <w:spacing w:line="240" w:lineRule="auto"/>
              <w:ind w:firstLine="0" w:firstLineChars="0"/>
              <w:jc w:val="center"/>
              <w:rPr>
                <w:color w:val="auto"/>
                <w:sz w:val="24"/>
              </w:rPr>
            </w:pPr>
            <w:r>
              <w:rPr>
                <w:rFonts w:hint="eastAsia"/>
                <w:color w:val="auto"/>
                <w:sz w:val="24"/>
              </w:rPr>
              <w:t>1250</w:t>
            </w:r>
          </w:p>
        </w:tc>
        <w:tc>
          <w:tcPr>
            <w:tcW w:w="408" w:type="pct"/>
            <w:vAlign w:val="center"/>
          </w:tcPr>
          <w:p>
            <w:pPr>
              <w:spacing w:line="240" w:lineRule="auto"/>
              <w:ind w:firstLine="0" w:firstLineChars="0"/>
              <w:jc w:val="center"/>
              <w:rPr>
                <w:color w:val="auto"/>
                <w:sz w:val="24"/>
              </w:rPr>
            </w:pPr>
            <w:r>
              <w:rPr>
                <w:color w:val="auto"/>
                <w:sz w:val="24"/>
              </w:rPr>
              <w:t>1200</w:t>
            </w:r>
          </w:p>
        </w:tc>
        <w:tc>
          <w:tcPr>
            <w:tcW w:w="408" w:type="pct"/>
            <w:vAlign w:val="center"/>
          </w:tcPr>
          <w:p>
            <w:pPr>
              <w:spacing w:line="240" w:lineRule="auto"/>
              <w:ind w:firstLine="0" w:firstLineChars="0"/>
              <w:jc w:val="center"/>
              <w:rPr>
                <w:color w:val="auto"/>
                <w:sz w:val="24"/>
              </w:rPr>
            </w:pPr>
            <w:r>
              <w:rPr>
                <w:rFonts w:hint="eastAsia"/>
                <w:color w:val="auto"/>
                <w:sz w:val="24"/>
              </w:rPr>
              <w:t>1150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浓香型</w:t>
            </w:r>
          </w:p>
        </w:tc>
        <w:tc>
          <w:tcPr>
            <w:tcW w:w="1044" w:type="pct"/>
            <w:vMerge w:val="restart"/>
            <w:vAlign w:val="center"/>
          </w:tcPr>
          <w:p>
            <w:pPr>
              <w:spacing w:line="240" w:lineRule="auto"/>
              <w:ind w:firstLine="0" w:firstLineChars="0"/>
              <w:rPr>
                <w:color w:val="auto"/>
                <w:sz w:val="24"/>
              </w:rPr>
            </w:pPr>
            <w:r>
              <w:rPr>
                <w:rFonts w:hint="eastAsia"/>
                <w:color w:val="auto"/>
                <w:sz w:val="24"/>
              </w:rPr>
              <w:t>《白酒原酒单位产品综合能耗及计算方法》（</w:t>
            </w:r>
            <w:r>
              <w:rPr>
                <w:color w:val="auto"/>
                <w:sz w:val="24"/>
              </w:rPr>
              <w:t>DB43T 1018-2015</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pacing w:val="-20"/>
                <w:sz w:val="24"/>
              </w:rPr>
            </w:pPr>
          </w:p>
        </w:tc>
        <w:tc>
          <w:tcPr>
            <w:tcW w:w="408" w:type="pct"/>
            <w:vAlign w:val="center"/>
          </w:tcPr>
          <w:p>
            <w:pPr>
              <w:spacing w:line="240" w:lineRule="auto"/>
              <w:ind w:firstLine="0" w:firstLineChars="0"/>
              <w:jc w:val="center"/>
              <w:rPr>
                <w:color w:val="auto"/>
                <w:sz w:val="24"/>
              </w:rPr>
            </w:pPr>
            <w:r>
              <w:rPr>
                <w:rFonts w:hint="eastAsia"/>
                <w:color w:val="auto"/>
                <w:sz w:val="24"/>
              </w:rPr>
              <w:t>1500</w:t>
            </w:r>
          </w:p>
        </w:tc>
        <w:tc>
          <w:tcPr>
            <w:tcW w:w="408" w:type="pct"/>
            <w:vAlign w:val="center"/>
          </w:tcPr>
          <w:p>
            <w:pPr>
              <w:spacing w:line="240" w:lineRule="auto"/>
              <w:ind w:firstLine="0" w:firstLineChars="0"/>
              <w:jc w:val="center"/>
              <w:rPr>
                <w:color w:val="auto"/>
                <w:sz w:val="24"/>
              </w:rPr>
            </w:pPr>
            <w:r>
              <w:rPr>
                <w:rFonts w:hint="eastAsia"/>
                <w:color w:val="auto"/>
                <w:sz w:val="24"/>
              </w:rPr>
              <w:t>1</w:t>
            </w:r>
            <w:r>
              <w:rPr>
                <w:color w:val="auto"/>
                <w:sz w:val="24"/>
              </w:rPr>
              <w:t>450</w:t>
            </w:r>
          </w:p>
        </w:tc>
        <w:tc>
          <w:tcPr>
            <w:tcW w:w="408" w:type="pct"/>
            <w:vAlign w:val="center"/>
          </w:tcPr>
          <w:p>
            <w:pPr>
              <w:spacing w:line="240" w:lineRule="auto"/>
              <w:ind w:firstLine="0" w:firstLineChars="0"/>
              <w:jc w:val="center"/>
              <w:rPr>
                <w:color w:val="auto"/>
                <w:sz w:val="24"/>
              </w:rPr>
            </w:pPr>
            <w:r>
              <w:rPr>
                <w:rFonts w:hint="eastAsia"/>
                <w:color w:val="auto"/>
                <w:sz w:val="24"/>
              </w:rPr>
              <w:t>1400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馥郁香型</w:t>
            </w:r>
          </w:p>
        </w:tc>
        <w:tc>
          <w:tcPr>
            <w:tcW w:w="1044" w:type="pct"/>
            <w:vMerge w:val="continue"/>
            <w:vAlign w:val="center"/>
          </w:tcPr>
          <w:p>
            <w:pPr>
              <w:spacing w:line="240" w:lineRule="auto"/>
              <w:ind w:firstLine="48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1800</w:t>
            </w:r>
          </w:p>
        </w:tc>
        <w:tc>
          <w:tcPr>
            <w:tcW w:w="408" w:type="pct"/>
            <w:vAlign w:val="center"/>
          </w:tcPr>
          <w:p>
            <w:pPr>
              <w:spacing w:line="240" w:lineRule="auto"/>
              <w:ind w:firstLine="0" w:firstLineChars="0"/>
              <w:jc w:val="center"/>
              <w:rPr>
                <w:color w:val="auto"/>
                <w:sz w:val="24"/>
              </w:rPr>
            </w:pPr>
            <w:r>
              <w:rPr>
                <w:color w:val="auto"/>
                <w:sz w:val="24"/>
              </w:rPr>
              <w:t>1750</w:t>
            </w:r>
          </w:p>
        </w:tc>
        <w:tc>
          <w:tcPr>
            <w:tcW w:w="408" w:type="pct"/>
            <w:vAlign w:val="center"/>
          </w:tcPr>
          <w:p>
            <w:pPr>
              <w:spacing w:line="240" w:lineRule="auto"/>
              <w:ind w:firstLine="0" w:firstLineChars="0"/>
              <w:jc w:val="center"/>
              <w:rPr>
                <w:color w:val="auto"/>
                <w:sz w:val="24"/>
              </w:rPr>
            </w:pPr>
            <w:r>
              <w:rPr>
                <w:rFonts w:hint="eastAsia"/>
                <w:color w:val="auto"/>
                <w:sz w:val="24"/>
              </w:rPr>
              <w:t>1700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酱香型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color w:val="auto"/>
                <w:sz w:val="24"/>
                <w:szCs w:val="24"/>
              </w:rPr>
              <w:t>23</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热电联产</w:t>
            </w:r>
          </w:p>
        </w:tc>
        <w:tc>
          <w:tcPr>
            <w:tcW w:w="792" w:type="pct"/>
            <w:vMerge w:val="restart"/>
            <w:vAlign w:val="center"/>
          </w:tcPr>
          <w:p>
            <w:pPr>
              <w:spacing w:line="240" w:lineRule="auto"/>
              <w:ind w:firstLine="0" w:firstLineChars="0"/>
              <w:jc w:val="center"/>
              <w:rPr>
                <w:color w:val="auto"/>
                <w:sz w:val="24"/>
              </w:rPr>
            </w:pPr>
            <w:r>
              <w:rPr>
                <w:rFonts w:hint="eastAsia"/>
                <w:color w:val="auto"/>
                <w:sz w:val="24"/>
              </w:rPr>
              <w:t>供电煤耗（gce</w:t>
            </w:r>
            <w:r>
              <w:rPr>
                <w:color w:val="auto"/>
                <w:sz w:val="24"/>
              </w:rPr>
              <w:t>/kW·h</w:t>
            </w:r>
            <w:r>
              <w:rPr>
                <w:rFonts w:hint="eastAsia"/>
                <w:color w:val="auto"/>
                <w:sz w:val="24"/>
              </w:rPr>
              <w:t>）</w:t>
            </w:r>
          </w:p>
        </w:tc>
        <w:tc>
          <w:tcPr>
            <w:tcW w:w="408" w:type="pct"/>
            <w:vAlign w:val="center"/>
          </w:tcPr>
          <w:p>
            <w:pPr>
              <w:spacing w:line="240" w:lineRule="auto"/>
              <w:ind w:firstLine="0" w:firstLineChars="0"/>
              <w:jc w:val="center"/>
              <w:rPr>
                <w:color w:val="auto"/>
                <w:sz w:val="24"/>
              </w:rPr>
            </w:pPr>
            <w:r>
              <w:rPr>
                <w:rFonts w:hint="eastAsia"/>
                <w:color w:val="auto"/>
                <w:sz w:val="24"/>
              </w:rPr>
              <w:t>299</w:t>
            </w:r>
          </w:p>
        </w:tc>
        <w:tc>
          <w:tcPr>
            <w:tcW w:w="408" w:type="pct"/>
            <w:vMerge w:val="restart"/>
            <w:vAlign w:val="center"/>
          </w:tcPr>
          <w:p>
            <w:pPr>
              <w:spacing w:line="240" w:lineRule="auto"/>
              <w:ind w:firstLine="0" w:firstLineChars="0"/>
              <w:jc w:val="center"/>
              <w:rPr>
                <w:color w:val="auto"/>
                <w:sz w:val="24"/>
              </w:rPr>
            </w:pPr>
            <w:r>
              <w:rPr>
                <w:rFonts w:hint="eastAsia"/>
                <w:color w:val="auto"/>
                <w:sz w:val="24"/>
              </w:rPr>
              <w:t>280</w:t>
            </w:r>
          </w:p>
        </w:tc>
        <w:tc>
          <w:tcPr>
            <w:tcW w:w="408" w:type="pct"/>
            <w:vMerge w:val="restart"/>
            <w:vAlign w:val="center"/>
          </w:tcPr>
          <w:p>
            <w:pPr>
              <w:spacing w:line="240" w:lineRule="auto"/>
              <w:ind w:firstLine="0" w:firstLineChars="0"/>
              <w:jc w:val="center"/>
              <w:rPr>
                <w:color w:val="auto"/>
                <w:sz w:val="24"/>
              </w:rPr>
            </w:pPr>
            <w:r>
              <w:rPr>
                <w:rFonts w:hint="eastAsia"/>
                <w:color w:val="auto"/>
                <w:sz w:val="24"/>
              </w:rPr>
              <w:t>270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超临界</w:t>
            </w:r>
            <w:r>
              <w:rPr>
                <w:color w:val="auto"/>
                <w:sz w:val="24"/>
              </w:rPr>
              <w:t>及以上</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《热电联产单位产品能源消耗限额》（</w:t>
            </w:r>
            <w:r>
              <w:rPr>
                <w:color w:val="auto"/>
                <w:sz w:val="24"/>
              </w:rPr>
              <w:t>GB 35574-2017</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307</w:t>
            </w:r>
          </w:p>
        </w:tc>
        <w:tc>
          <w:tcPr>
            <w:tcW w:w="408" w:type="pct"/>
            <w:vMerge w:val="continue"/>
            <w:vAlign w:val="center"/>
          </w:tcPr>
          <w:p>
            <w:pPr>
              <w:spacing w:line="240" w:lineRule="auto"/>
              <w:ind w:firstLine="0" w:firstLineChars="0"/>
              <w:jc w:val="center"/>
              <w:rPr>
                <w:color w:val="auto"/>
                <w:sz w:val="24"/>
              </w:rPr>
            </w:pPr>
          </w:p>
        </w:tc>
        <w:tc>
          <w:tcPr>
            <w:tcW w:w="408" w:type="pct"/>
            <w:vMerge w:val="continue"/>
            <w:vAlign w:val="center"/>
          </w:tcPr>
          <w:p>
            <w:pPr>
              <w:spacing w:line="240" w:lineRule="auto"/>
              <w:ind w:firstLine="0" w:firstLineChars="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亚</w:t>
            </w:r>
            <w:r>
              <w:rPr>
                <w:color w:val="auto"/>
                <w:sz w:val="24"/>
              </w:rPr>
              <w:t>临界</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316</w:t>
            </w:r>
          </w:p>
        </w:tc>
        <w:tc>
          <w:tcPr>
            <w:tcW w:w="408" w:type="pct"/>
            <w:vMerge w:val="continue"/>
            <w:vAlign w:val="center"/>
          </w:tcPr>
          <w:p>
            <w:pPr>
              <w:spacing w:line="240" w:lineRule="auto"/>
              <w:ind w:firstLine="0" w:firstLineChars="0"/>
              <w:jc w:val="center"/>
              <w:rPr>
                <w:color w:val="auto"/>
                <w:sz w:val="24"/>
              </w:rPr>
            </w:pPr>
          </w:p>
        </w:tc>
        <w:tc>
          <w:tcPr>
            <w:tcW w:w="408" w:type="pct"/>
            <w:vMerge w:val="continue"/>
            <w:vAlign w:val="center"/>
          </w:tcPr>
          <w:p>
            <w:pPr>
              <w:spacing w:line="240" w:lineRule="auto"/>
              <w:ind w:firstLine="0" w:firstLineChars="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超</w:t>
            </w:r>
            <w:r>
              <w:rPr>
                <w:color w:val="auto"/>
                <w:sz w:val="24"/>
              </w:rPr>
              <w:t>高压</w:t>
            </w:r>
            <w:r>
              <w:rPr>
                <w:rFonts w:hint="eastAsia"/>
                <w:color w:val="auto"/>
                <w:sz w:val="24"/>
              </w:rPr>
              <w:t>（200</w:t>
            </w:r>
            <w:r>
              <w:rPr>
                <w:color w:val="auto"/>
                <w:sz w:val="24"/>
              </w:rPr>
              <w:t>MW</w:t>
            </w:r>
            <w:r>
              <w:rPr>
                <w:rFonts w:hint="eastAsia"/>
                <w:color w:val="auto"/>
                <w:sz w:val="24"/>
              </w:rPr>
              <w:t>及</w:t>
            </w:r>
            <w:r>
              <w:rPr>
                <w:color w:val="auto"/>
                <w:sz w:val="24"/>
              </w:rPr>
              <w:t>以上</w:t>
            </w: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305</w:t>
            </w:r>
          </w:p>
        </w:tc>
        <w:tc>
          <w:tcPr>
            <w:tcW w:w="408" w:type="pct"/>
            <w:vMerge w:val="continue"/>
            <w:vAlign w:val="center"/>
          </w:tcPr>
          <w:p>
            <w:pPr>
              <w:spacing w:line="240" w:lineRule="auto"/>
              <w:ind w:firstLine="0" w:firstLineChars="0"/>
              <w:jc w:val="center"/>
              <w:rPr>
                <w:color w:val="auto"/>
                <w:sz w:val="24"/>
              </w:rPr>
            </w:pPr>
          </w:p>
        </w:tc>
        <w:tc>
          <w:tcPr>
            <w:tcW w:w="408" w:type="pct"/>
            <w:vMerge w:val="continue"/>
            <w:vAlign w:val="center"/>
          </w:tcPr>
          <w:p>
            <w:pPr>
              <w:spacing w:line="240" w:lineRule="auto"/>
              <w:ind w:firstLine="0" w:firstLineChars="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超</w:t>
            </w:r>
            <w:r>
              <w:rPr>
                <w:color w:val="auto"/>
                <w:sz w:val="24"/>
              </w:rPr>
              <w:t>高压</w:t>
            </w:r>
            <w:r>
              <w:rPr>
                <w:rFonts w:hint="eastAsia"/>
                <w:color w:val="auto"/>
                <w:sz w:val="24"/>
              </w:rPr>
              <w:t>、</w:t>
            </w:r>
            <w:r>
              <w:rPr>
                <w:color w:val="auto"/>
                <w:sz w:val="24"/>
              </w:rPr>
              <w:t>高压</w:t>
            </w:r>
            <w:r>
              <w:rPr>
                <w:rFonts w:hint="eastAsia"/>
                <w:color w:val="auto"/>
                <w:sz w:val="24"/>
              </w:rPr>
              <w:t>（200</w:t>
            </w:r>
            <w:r>
              <w:rPr>
                <w:color w:val="auto"/>
                <w:sz w:val="24"/>
              </w:rPr>
              <w:t>MW</w:t>
            </w:r>
            <w:r>
              <w:rPr>
                <w:rFonts w:hint="eastAsia"/>
                <w:color w:val="auto"/>
                <w:sz w:val="24"/>
              </w:rPr>
              <w:t>以下）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restart"/>
            <w:vAlign w:val="center"/>
          </w:tcPr>
          <w:p>
            <w:pPr>
              <w:spacing w:line="240" w:lineRule="auto"/>
              <w:ind w:firstLine="0" w:firstLineChars="0"/>
              <w:jc w:val="center"/>
              <w:rPr>
                <w:color w:val="auto"/>
                <w:sz w:val="24"/>
              </w:rPr>
            </w:pPr>
            <w:r>
              <w:rPr>
                <w:rFonts w:hint="eastAsia"/>
                <w:color w:val="auto"/>
                <w:sz w:val="24"/>
              </w:rPr>
              <w:t>供热煤耗（kgce</w:t>
            </w:r>
            <w:r>
              <w:rPr>
                <w:color w:val="auto"/>
                <w:sz w:val="24"/>
              </w:rPr>
              <w:t>/GJ</w:t>
            </w:r>
            <w:r>
              <w:rPr>
                <w:rFonts w:hint="eastAsia"/>
                <w:color w:val="auto"/>
                <w:sz w:val="24"/>
              </w:rPr>
              <w:t>）</w:t>
            </w:r>
          </w:p>
        </w:tc>
        <w:tc>
          <w:tcPr>
            <w:tcW w:w="408" w:type="pct"/>
            <w:vAlign w:val="center"/>
          </w:tcPr>
          <w:p>
            <w:pPr>
              <w:spacing w:line="240" w:lineRule="auto"/>
              <w:ind w:firstLine="0" w:firstLineChars="0"/>
              <w:jc w:val="center"/>
              <w:rPr>
                <w:color w:val="auto"/>
                <w:sz w:val="24"/>
              </w:rPr>
            </w:pPr>
            <w:r>
              <w:rPr>
                <w:color w:val="auto"/>
                <w:sz w:val="24"/>
              </w:rPr>
              <w:t>4</w:t>
            </w:r>
            <w:r>
              <w:rPr>
                <w:rFonts w:hint="eastAsia"/>
                <w:color w:val="auto"/>
                <w:sz w:val="24"/>
              </w:rPr>
              <w:t>2.0</w:t>
            </w:r>
          </w:p>
        </w:tc>
        <w:tc>
          <w:tcPr>
            <w:tcW w:w="408" w:type="pct"/>
            <w:vMerge w:val="restart"/>
            <w:vAlign w:val="center"/>
          </w:tcPr>
          <w:p>
            <w:pPr>
              <w:spacing w:line="240" w:lineRule="auto"/>
              <w:ind w:firstLine="0" w:firstLineChars="0"/>
              <w:jc w:val="center"/>
              <w:rPr>
                <w:color w:val="auto"/>
                <w:sz w:val="24"/>
              </w:rPr>
            </w:pPr>
            <w:r>
              <w:rPr>
                <w:rFonts w:hint="eastAsia"/>
                <w:color w:val="auto"/>
                <w:sz w:val="24"/>
              </w:rPr>
              <w:t>40.5</w:t>
            </w:r>
          </w:p>
        </w:tc>
        <w:tc>
          <w:tcPr>
            <w:tcW w:w="408" w:type="pct"/>
            <w:vMerge w:val="restart"/>
            <w:vAlign w:val="center"/>
          </w:tcPr>
          <w:p>
            <w:pPr>
              <w:spacing w:line="240" w:lineRule="auto"/>
              <w:ind w:firstLine="0" w:firstLineChars="0"/>
              <w:jc w:val="center"/>
              <w:rPr>
                <w:color w:val="auto"/>
                <w:sz w:val="24"/>
              </w:rPr>
            </w:pPr>
            <w:r>
              <w:rPr>
                <w:rFonts w:hint="eastAsia"/>
                <w:color w:val="auto"/>
                <w:sz w:val="24"/>
              </w:rPr>
              <w:t>40.5</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超临界</w:t>
            </w:r>
            <w:r>
              <w:rPr>
                <w:color w:val="auto"/>
                <w:sz w:val="24"/>
              </w:rPr>
              <w:t>及以上</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48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42.5</w:t>
            </w:r>
          </w:p>
        </w:tc>
        <w:tc>
          <w:tcPr>
            <w:tcW w:w="408" w:type="pct"/>
            <w:vMerge w:val="continue"/>
            <w:vAlign w:val="center"/>
          </w:tcPr>
          <w:p>
            <w:pPr>
              <w:spacing w:line="240" w:lineRule="auto"/>
              <w:ind w:firstLine="480"/>
              <w:jc w:val="center"/>
              <w:rPr>
                <w:color w:val="auto"/>
                <w:sz w:val="24"/>
              </w:rPr>
            </w:pPr>
          </w:p>
        </w:tc>
        <w:tc>
          <w:tcPr>
            <w:tcW w:w="408" w:type="pct"/>
            <w:vMerge w:val="continue"/>
            <w:vAlign w:val="center"/>
          </w:tcPr>
          <w:p>
            <w:pPr>
              <w:spacing w:line="240" w:lineRule="auto"/>
              <w:ind w:firstLine="48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亚</w:t>
            </w:r>
            <w:r>
              <w:rPr>
                <w:color w:val="auto"/>
                <w:sz w:val="24"/>
              </w:rPr>
              <w:t>临界</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szCs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48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43.0</w:t>
            </w:r>
          </w:p>
        </w:tc>
        <w:tc>
          <w:tcPr>
            <w:tcW w:w="408" w:type="pct"/>
            <w:vMerge w:val="continue"/>
            <w:vAlign w:val="center"/>
          </w:tcPr>
          <w:p>
            <w:pPr>
              <w:spacing w:line="240" w:lineRule="auto"/>
              <w:ind w:firstLine="480"/>
              <w:jc w:val="center"/>
              <w:rPr>
                <w:color w:val="auto"/>
                <w:sz w:val="24"/>
              </w:rPr>
            </w:pPr>
          </w:p>
        </w:tc>
        <w:tc>
          <w:tcPr>
            <w:tcW w:w="408" w:type="pct"/>
            <w:vMerge w:val="continue"/>
            <w:vAlign w:val="center"/>
          </w:tcPr>
          <w:p>
            <w:pPr>
              <w:spacing w:line="240" w:lineRule="auto"/>
              <w:ind w:firstLine="48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超</w:t>
            </w:r>
            <w:r>
              <w:rPr>
                <w:color w:val="auto"/>
                <w:sz w:val="24"/>
              </w:rPr>
              <w:t>高压</w:t>
            </w:r>
            <w:r>
              <w:rPr>
                <w:rFonts w:hint="eastAsia"/>
                <w:color w:val="auto"/>
                <w:sz w:val="24"/>
              </w:rPr>
              <w:t>（200</w:t>
            </w:r>
            <w:r>
              <w:rPr>
                <w:color w:val="auto"/>
                <w:sz w:val="24"/>
              </w:rPr>
              <w:t>MW</w:t>
            </w:r>
            <w:r>
              <w:rPr>
                <w:rFonts w:hint="eastAsia"/>
                <w:color w:val="auto"/>
                <w:sz w:val="24"/>
              </w:rPr>
              <w:t>及</w:t>
            </w:r>
            <w:r>
              <w:rPr>
                <w:color w:val="auto"/>
                <w:sz w:val="24"/>
              </w:rPr>
              <w:t>以上</w:t>
            </w:r>
            <w:r>
              <w:rPr>
                <w:rFonts w:hint="eastAsia"/>
                <w:color w:val="auto"/>
                <w:sz w:val="24"/>
              </w:rPr>
              <w:t>）</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42.5</w:t>
            </w:r>
          </w:p>
        </w:tc>
        <w:tc>
          <w:tcPr>
            <w:tcW w:w="408" w:type="pct"/>
            <w:vMerge w:val="continue"/>
            <w:vAlign w:val="center"/>
          </w:tcPr>
          <w:p>
            <w:pPr>
              <w:spacing w:line="240" w:lineRule="auto"/>
              <w:ind w:firstLine="0" w:firstLineChars="0"/>
              <w:jc w:val="center"/>
              <w:rPr>
                <w:color w:val="auto"/>
                <w:sz w:val="24"/>
              </w:rPr>
            </w:pPr>
          </w:p>
        </w:tc>
        <w:tc>
          <w:tcPr>
            <w:tcW w:w="408" w:type="pct"/>
            <w:vMerge w:val="continue"/>
            <w:vAlign w:val="center"/>
          </w:tcPr>
          <w:p>
            <w:pPr>
              <w:spacing w:line="240" w:lineRule="auto"/>
              <w:ind w:firstLine="0" w:firstLineChars="0"/>
              <w:jc w:val="center"/>
              <w:rPr>
                <w:color w:val="auto"/>
                <w:sz w:val="24"/>
              </w:rPr>
            </w:pPr>
          </w:p>
        </w:tc>
        <w:tc>
          <w:tcPr>
            <w:tcW w:w="1057" w:type="pct"/>
            <w:gridSpan w:val="2"/>
            <w:vAlign w:val="center"/>
          </w:tcPr>
          <w:p>
            <w:pPr>
              <w:spacing w:line="240" w:lineRule="auto"/>
              <w:ind w:firstLine="0" w:firstLineChars="0"/>
              <w:jc w:val="center"/>
              <w:rPr>
                <w:color w:val="auto"/>
                <w:sz w:val="24"/>
              </w:rPr>
            </w:pPr>
            <w:r>
              <w:rPr>
                <w:rFonts w:hint="eastAsia"/>
                <w:color w:val="auto"/>
                <w:sz w:val="24"/>
              </w:rPr>
              <w:t>超</w:t>
            </w:r>
            <w:r>
              <w:rPr>
                <w:color w:val="auto"/>
                <w:sz w:val="24"/>
              </w:rPr>
              <w:t>高压</w:t>
            </w:r>
            <w:r>
              <w:rPr>
                <w:rFonts w:hint="eastAsia"/>
                <w:color w:val="auto"/>
                <w:sz w:val="24"/>
              </w:rPr>
              <w:t>、</w:t>
            </w:r>
            <w:r>
              <w:rPr>
                <w:color w:val="auto"/>
                <w:sz w:val="24"/>
              </w:rPr>
              <w:t>高压</w:t>
            </w:r>
            <w:r>
              <w:rPr>
                <w:rFonts w:hint="eastAsia"/>
                <w:color w:val="auto"/>
                <w:sz w:val="24"/>
              </w:rPr>
              <w:t>（200</w:t>
            </w:r>
            <w:r>
              <w:rPr>
                <w:color w:val="auto"/>
                <w:sz w:val="24"/>
              </w:rPr>
              <w:t>MW</w:t>
            </w:r>
            <w:r>
              <w:rPr>
                <w:rFonts w:hint="eastAsia"/>
                <w:color w:val="auto"/>
                <w:sz w:val="24"/>
              </w:rPr>
              <w:t>以下）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szCs w:val="24"/>
              </w:rPr>
            </w:pPr>
            <w:r>
              <w:rPr>
                <w:color w:val="auto"/>
                <w:sz w:val="24"/>
                <w:szCs w:val="24"/>
              </w:rPr>
              <w:t>24</w:t>
            </w:r>
          </w:p>
        </w:tc>
        <w:tc>
          <w:tcPr>
            <w:tcW w:w="627" w:type="pct"/>
            <w:vMerge w:val="restart"/>
            <w:vAlign w:val="center"/>
          </w:tcPr>
          <w:p>
            <w:pPr>
              <w:spacing w:line="240" w:lineRule="auto"/>
              <w:ind w:firstLine="0" w:firstLineChars="0"/>
              <w:jc w:val="center"/>
              <w:rPr>
                <w:color w:val="auto"/>
                <w:sz w:val="24"/>
                <w:szCs w:val="24"/>
              </w:rPr>
            </w:pPr>
            <w:r>
              <w:rPr>
                <w:rFonts w:hint="eastAsia"/>
                <w:color w:val="auto"/>
                <w:sz w:val="24"/>
                <w:szCs w:val="24"/>
              </w:rPr>
              <w:t>水性</w:t>
            </w:r>
          </w:p>
          <w:p>
            <w:pPr>
              <w:spacing w:line="240" w:lineRule="auto"/>
              <w:ind w:firstLine="0" w:firstLineChars="0"/>
              <w:jc w:val="center"/>
              <w:rPr>
                <w:color w:val="auto"/>
                <w:sz w:val="24"/>
                <w:szCs w:val="24"/>
              </w:rPr>
            </w:pPr>
            <w:r>
              <w:rPr>
                <w:rFonts w:hint="eastAsia"/>
                <w:color w:val="auto"/>
                <w:sz w:val="24"/>
                <w:szCs w:val="24"/>
              </w:rPr>
              <w:t>建筑涂料</w:t>
            </w:r>
          </w:p>
        </w:tc>
        <w:tc>
          <w:tcPr>
            <w:tcW w:w="792" w:type="pct"/>
            <w:vMerge w:val="restart"/>
            <w:vAlign w:val="center"/>
          </w:tcPr>
          <w:p>
            <w:pPr>
              <w:spacing w:line="240" w:lineRule="auto"/>
              <w:ind w:firstLine="0" w:firstLineChars="0"/>
              <w:jc w:val="center"/>
              <w:rPr>
                <w:color w:val="auto"/>
                <w:sz w:val="24"/>
                <w:szCs w:val="24"/>
              </w:rPr>
            </w:pPr>
            <w:r>
              <w:rPr>
                <w:rFonts w:hint="eastAsia"/>
                <w:color w:val="auto"/>
                <w:sz w:val="24"/>
                <w:szCs w:val="24"/>
              </w:rPr>
              <w:t>综合能耗（kgce/t）</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10</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7</w:t>
            </w:r>
          </w:p>
        </w:tc>
        <w:tc>
          <w:tcPr>
            <w:tcW w:w="408" w:type="pct"/>
            <w:vAlign w:val="center"/>
          </w:tcPr>
          <w:p>
            <w:pPr>
              <w:spacing w:line="240" w:lineRule="auto"/>
              <w:ind w:firstLine="0" w:firstLineChars="0"/>
              <w:jc w:val="center"/>
              <w:rPr>
                <w:color w:val="auto"/>
                <w:sz w:val="24"/>
                <w:szCs w:val="24"/>
              </w:rPr>
            </w:pPr>
            <w:r>
              <w:rPr>
                <w:rFonts w:hint="eastAsia"/>
                <w:color w:val="auto"/>
                <w:sz w:val="24"/>
                <w:szCs w:val="24"/>
              </w:rPr>
              <w:t>2.5</w:t>
            </w:r>
          </w:p>
        </w:tc>
        <w:tc>
          <w:tcPr>
            <w:tcW w:w="472" w:type="pct"/>
            <w:vMerge w:val="restart"/>
            <w:vAlign w:val="center"/>
          </w:tcPr>
          <w:p>
            <w:pPr>
              <w:spacing w:line="240" w:lineRule="auto"/>
              <w:ind w:firstLine="0" w:firstLineChars="0"/>
              <w:jc w:val="center"/>
              <w:rPr>
                <w:color w:val="auto"/>
                <w:sz w:val="24"/>
                <w:szCs w:val="24"/>
              </w:rPr>
            </w:pPr>
            <w:r>
              <w:rPr>
                <w:rFonts w:hint="eastAsia"/>
                <w:color w:val="auto"/>
                <w:sz w:val="24"/>
                <w:szCs w:val="24"/>
              </w:rPr>
              <w:t>年产量</w:t>
            </w:r>
          </w:p>
          <w:p>
            <w:pPr>
              <w:spacing w:line="240" w:lineRule="auto"/>
              <w:ind w:firstLine="0" w:firstLineChars="0"/>
              <w:jc w:val="center"/>
              <w:rPr>
                <w:color w:val="auto"/>
                <w:sz w:val="24"/>
                <w:szCs w:val="24"/>
              </w:rPr>
            </w:pPr>
            <w:r>
              <w:rPr>
                <w:rFonts w:hint="eastAsia"/>
                <w:color w:val="auto"/>
                <w:sz w:val="24"/>
                <w:szCs w:val="24"/>
              </w:rPr>
              <w:t>（t</w:t>
            </w:r>
            <w:r>
              <w:rPr>
                <w:color w:val="auto"/>
                <w:sz w:val="24"/>
                <w:szCs w:val="24"/>
              </w:rPr>
              <w:t>/</w:t>
            </w:r>
            <w:r>
              <w:rPr>
                <w:rFonts w:hint="eastAsia"/>
                <w:color w:val="auto"/>
                <w:sz w:val="24"/>
                <w:szCs w:val="24"/>
              </w:rPr>
              <w:t>年）</w:t>
            </w:r>
          </w:p>
        </w:tc>
        <w:tc>
          <w:tcPr>
            <w:tcW w:w="585" w:type="pct"/>
            <w:vAlign w:val="center"/>
          </w:tcPr>
          <w:p>
            <w:pPr>
              <w:spacing w:line="240" w:lineRule="auto"/>
              <w:ind w:firstLine="0" w:firstLineChars="0"/>
              <w:jc w:val="center"/>
              <w:rPr>
                <w:color w:val="auto"/>
                <w:sz w:val="24"/>
                <w:szCs w:val="24"/>
              </w:rPr>
            </w:pPr>
            <w:r>
              <w:rPr>
                <w:rFonts w:hint="eastAsia"/>
                <w:color w:val="auto"/>
                <w:sz w:val="24"/>
                <w:szCs w:val="24"/>
              </w:rPr>
              <w:t>≥5000</w:t>
            </w:r>
          </w:p>
        </w:tc>
        <w:tc>
          <w:tcPr>
            <w:tcW w:w="1044" w:type="pct"/>
            <w:vMerge w:val="restart"/>
            <w:vAlign w:val="center"/>
          </w:tcPr>
          <w:p>
            <w:pPr>
              <w:spacing w:line="240" w:lineRule="auto"/>
              <w:ind w:firstLine="0" w:firstLineChars="0"/>
              <w:jc w:val="center"/>
              <w:rPr>
                <w:color w:val="auto"/>
                <w:sz w:val="24"/>
                <w:szCs w:val="24"/>
              </w:rPr>
            </w:pPr>
            <w:r>
              <w:rPr>
                <w:rFonts w:hint="eastAsia"/>
                <w:color w:val="auto"/>
                <w:sz w:val="24"/>
                <w:szCs w:val="24"/>
              </w:rPr>
              <w:t>《建筑涂料单位产品能源消耗限额》（</w:t>
            </w:r>
            <w:r>
              <w:rPr>
                <w:color w:val="auto"/>
                <w:sz w:val="24"/>
                <w:szCs w:val="24"/>
              </w:rPr>
              <w:t>DB31 711-2013</w:t>
            </w:r>
            <w:r>
              <w:rPr>
                <w:rFonts w:hint="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48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7</w:t>
            </w:r>
          </w:p>
        </w:tc>
        <w:tc>
          <w:tcPr>
            <w:tcW w:w="408" w:type="pct"/>
            <w:vAlign w:val="center"/>
          </w:tcPr>
          <w:p>
            <w:pPr>
              <w:spacing w:line="240" w:lineRule="auto"/>
              <w:ind w:firstLine="0" w:firstLineChars="0"/>
              <w:jc w:val="center"/>
              <w:rPr>
                <w:color w:val="auto"/>
                <w:sz w:val="24"/>
              </w:rPr>
            </w:pPr>
            <w:r>
              <w:rPr>
                <w:rFonts w:hint="eastAsia"/>
                <w:color w:val="auto"/>
                <w:sz w:val="24"/>
              </w:rPr>
              <w:t>5</w:t>
            </w:r>
          </w:p>
        </w:tc>
        <w:tc>
          <w:tcPr>
            <w:tcW w:w="408" w:type="pct"/>
            <w:vAlign w:val="center"/>
          </w:tcPr>
          <w:p>
            <w:pPr>
              <w:spacing w:line="240" w:lineRule="auto"/>
              <w:ind w:firstLine="0" w:firstLineChars="0"/>
              <w:jc w:val="center"/>
              <w:rPr>
                <w:color w:val="auto"/>
                <w:sz w:val="24"/>
              </w:rPr>
            </w:pPr>
            <w:r>
              <w:rPr>
                <w:rFonts w:hint="eastAsia"/>
                <w:color w:val="auto"/>
                <w:sz w:val="24"/>
              </w:rPr>
              <w:t>1.0</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rPr>
              <w:t>≥1000、</w:t>
            </w:r>
            <w:r>
              <w:rPr>
                <w:color w:val="auto"/>
                <w:sz w:val="24"/>
              </w:rPr>
              <w:t>＜</w:t>
            </w:r>
            <w:r>
              <w:rPr>
                <w:rFonts w:hint="eastAsia"/>
                <w:color w:val="auto"/>
                <w:sz w:val="24"/>
              </w:rPr>
              <w:t>5000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vAlign w:val="center"/>
          </w:tcPr>
          <w:p>
            <w:pPr>
              <w:spacing w:line="240" w:lineRule="auto"/>
              <w:ind w:firstLine="0" w:firstLineChars="0"/>
              <w:jc w:val="center"/>
              <w:rPr>
                <w:color w:val="auto"/>
                <w:sz w:val="24"/>
              </w:rPr>
            </w:pPr>
            <w:r>
              <w:rPr>
                <w:rFonts w:hint="eastAsia"/>
                <w:color w:val="auto"/>
                <w:sz w:val="24"/>
              </w:rPr>
              <w:t>6.5</w:t>
            </w:r>
          </w:p>
        </w:tc>
        <w:tc>
          <w:tcPr>
            <w:tcW w:w="408" w:type="pct"/>
            <w:vAlign w:val="center"/>
          </w:tcPr>
          <w:p>
            <w:pPr>
              <w:spacing w:line="240" w:lineRule="auto"/>
              <w:ind w:firstLine="0" w:firstLineChars="0"/>
              <w:jc w:val="center"/>
              <w:rPr>
                <w:color w:val="auto"/>
                <w:sz w:val="24"/>
              </w:rPr>
            </w:pPr>
            <w:r>
              <w:rPr>
                <w:rFonts w:hint="eastAsia"/>
                <w:color w:val="auto"/>
                <w:sz w:val="24"/>
              </w:rPr>
              <w:t>4.5</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rPr>
              <w:t>＜1000</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color w:val="auto"/>
                <w:sz w:val="24"/>
              </w:rPr>
              <w:t>25</w:t>
            </w:r>
          </w:p>
        </w:tc>
        <w:tc>
          <w:tcPr>
            <w:tcW w:w="627" w:type="pct"/>
            <w:vAlign w:val="center"/>
          </w:tcPr>
          <w:p>
            <w:pPr>
              <w:spacing w:line="240" w:lineRule="auto"/>
              <w:ind w:firstLine="0" w:firstLineChars="0"/>
              <w:jc w:val="center"/>
              <w:rPr>
                <w:color w:val="auto"/>
                <w:sz w:val="24"/>
              </w:rPr>
            </w:pPr>
            <w:r>
              <w:rPr>
                <w:rFonts w:hint="eastAsia"/>
                <w:color w:val="auto"/>
                <w:sz w:val="24"/>
              </w:rPr>
              <w:t>印染布</w:t>
            </w:r>
          </w:p>
        </w:tc>
        <w:tc>
          <w:tcPr>
            <w:tcW w:w="792" w:type="pct"/>
            <w:vAlign w:val="center"/>
          </w:tcPr>
          <w:p>
            <w:pPr>
              <w:spacing w:line="240" w:lineRule="auto"/>
              <w:ind w:firstLine="0" w:firstLineChars="0"/>
              <w:jc w:val="center"/>
              <w:rPr>
                <w:color w:val="auto"/>
                <w:sz w:val="24"/>
              </w:rPr>
            </w:pPr>
            <w:r>
              <w:rPr>
                <w:rFonts w:hint="eastAsia"/>
                <w:color w:val="auto"/>
                <w:sz w:val="24"/>
                <w:szCs w:val="24"/>
              </w:rPr>
              <w:t>综合能耗（kgce/</w:t>
            </w:r>
            <w:r>
              <w:rPr>
                <w:color w:val="auto"/>
                <w:sz w:val="24"/>
                <w:szCs w:val="24"/>
              </w:rPr>
              <w:t>hm</w:t>
            </w:r>
            <w:r>
              <w:rPr>
                <w:rFonts w:hint="eastAsia"/>
                <w:color w:val="auto"/>
                <w:sz w:val="24"/>
                <w:szCs w:val="24"/>
              </w:rPr>
              <w:t>）</w:t>
            </w:r>
          </w:p>
        </w:tc>
        <w:tc>
          <w:tcPr>
            <w:tcW w:w="408" w:type="pct"/>
            <w:vAlign w:val="center"/>
          </w:tcPr>
          <w:p>
            <w:pPr>
              <w:spacing w:line="240" w:lineRule="auto"/>
              <w:ind w:firstLine="0" w:firstLineChars="0"/>
              <w:jc w:val="center"/>
              <w:rPr>
                <w:color w:val="auto"/>
                <w:sz w:val="24"/>
              </w:rPr>
            </w:pPr>
            <w:r>
              <w:rPr>
                <w:rFonts w:hint="eastAsia"/>
                <w:color w:val="auto"/>
                <w:sz w:val="24"/>
              </w:rPr>
              <w:t>30</w:t>
            </w:r>
          </w:p>
        </w:tc>
        <w:tc>
          <w:tcPr>
            <w:tcW w:w="408" w:type="pct"/>
            <w:vAlign w:val="center"/>
          </w:tcPr>
          <w:p>
            <w:pPr>
              <w:spacing w:line="240" w:lineRule="auto"/>
              <w:ind w:firstLine="0" w:firstLineChars="0"/>
              <w:jc w:val="center"/>
              <w:rPr>
                <w:color w:val="auto"/>
                <w:sz w:val="24"/>
              </w:rPr>
            </w:pPr>
            <w:r>
              <w:rPr>
                <w:rFonts w:hint="eastAsia"/>
                <w:color w:val="auto"/>
                <w:sz w:val="24"/>
              </w:rPr>
              <w:t>25</w:t>
            </w:r>
          </w:p>
        </w:tc>
        <w:tc>
          <w:tcPr>
            <w:tcW w:w="408" w:type="pct"/>
            <w:vAlign w:val="center"/>
          </w:tcPr>
          <w:p>
            <w:pPr>
              <w:spacing w:line="240" w:lineRule="auto"/>
              <w:ind w:firstLine="0" w:firstLineChars="0"/>
              <w:jc w:val="center"/>
              <w:rPr>
                <w:color w:val="auto"/>
                <w:sz w:val="24"/>
              </w:rPr>
            </w:pPr>
            <w:r>
              <w:rPr>
                <w:rFonts w:hint="eastAsia"/>
                <w:color w:val="auto"/>
                <w:sz w:val="24"/>
              </w:rPr>
              <w:t>22</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w:t>
            </w:r>
          </w:p>
        </w:tc>
        <w:tc>
          <w:tcPr>
            <w:tcW w:w="1044" w:type="pct"/>
            <w:vAlign w:val="center"/>
          </w:tcPr>
          <w:p>
            <w:pPr>
              <w:spacing w:line="240" w:lineRule="auto"/>
              <w:ind w:firstLine="0" w:firstLineChars="0"/>
              <w:jc w:val="center"/>
              <w:rPr>
                <w:color w:val="auto"/>
                <w:sz w:val="24"/>
              </w:rPr>
            </w:pPr>
            <w:r>
              <w:rPr>
                <w:rFonts w:hint="eastAsia"/>
                <w:color w:val="auto"/>
                <w:sz w:val="24"/>
              </w:rPr>
              <w:t>《印染布可比单位综合能耗限额及计算方法》（DB33/ 685-2013）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6" w:hRule="atLeast"/>
          <w:jc w:val="center"/>
        </w:trPr>
        <w:tc>
          <w:tcPr>
            <w:tcW w:w="256" w:type="pct"/>
            <w:vMerge w:val="restart"/>
            <w:vAlign w:val="center"/>
          </w:tcPr>
          <w:p>
            <w:pPr>
              <w:spacing w:line="240" w:lineRule="auto"/>
              <w:ind w:firstLine="0" w:firstLineChars="0"/>
              <w:jc w:val="center"/>
              <w:rPr>
                <w:color w:val="auto"/>
                <w:sz w:val="24"/>
              </w:rPr>
            </w:pPr>
            <w:r>
              <w:rPr>
                <w:color w:val="auto"/>
                <w:sz w:val="24"/>
              </w:rPr>
              <w:t>26</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棉布</w:t>
            </w:r>
          </w:p>
        </w:tc>
        <w:tc>
          <w:tcPr>
            <w:tcW w:w="792" w:type="pct"/>
            <w:vAlign w:val="center"/>
          </w:tcPr>
          <w:p>
            <w:pPr>
              <w:spacing w:line="240" w:lineRule="auto"/>
              <w:ind w:firstLine="0" w:firstLineChars="0"/>
              <w:jc w:val="center"/>
              <w:rPr>
                <w:color w:val="auto"/>
                <w:sz w:val="24"/>
                <w:szCs w:val="24"/>
              </w:rPr>
            </w:pPr>
            <w:r>
              <w:rPr>
                <w:rFonts w:hint="eastAsia"/>
                <w:color w:val="auto"/>
                <w:sz w:val="24"/>
                <w:szCs w:val="24"/>
              </w:rPr>
              <w:t>单位电耗（k</w:t>
            </w:r>
            <w:r>
              <w:rPr>
                <w:color w:val="auto"/>
                <w:sz w:val="24"/>
                <w:szCs w:val="24"/>
              </w:rPr>
              <w:t>W·h</w:t>
            </w:r>
            <w:r>
              <w:rPr>
                <w:rFonts w:hint="eastAsia"/>
                <w:color w:val="auto"/>
                <w:sz w:val="24"/>
                <w:szCs w:val="24"/>
              </w:rPr>
              <w:t>/</w:t>
            </w:r>
            <w:r>
              <w:rPr>
                <w:color w:val="auto"/>
                <w:sz w:val="24"/>
                <w:szCs w:val="24"/>
              </w:rPr>
              <w:t>hm</w:t>
            </w:r>
            <w:r>
              <w:rPr>
                <w:rFonts w:hint="eastAsia"/>
                <w:color w:val="auto"/>
                <w:sz w:val="24"/>
                <w:szCs w:val="24"/>
              </w:rPr>
              <w:t>）</w:t>
            </w:r>
          </w:p>
        </w:tc>
        <w:tc>
          <w:tcPr>
            <w:tcW w:w="408" w:type="pct"/>
            <w:vAlign w:val="center"/>
          </w:tcPr>
          <w:p>
            <w:pPr>
              <w:spacing w:line="240" w:lineRule="auto"/>
              <w:ind w:firstLine="0" w:firstLineChars="0"/>
              <w:jc w:val="center"/>
              <w:rPr>
                <w:color w:val="auto"/>
                <w:sz w:val="24"/>
              </w:rPr>
            </w:pPr>
            <w:r>
              <w:rPr>
                <w:rFonts w:hint="eastAsia"/>
                <w:color w:val="auto"/>
                <w:sz w:val="24"/>
              </w:rPr>
              <w:t>1</w:t>
            </w:r>
            <w:r>
              <w:rPr>
                <w:color w:val="auto"/>
                <w:sz w:val="24"/>
              </w:rPr>
              <w:t>7</w:t>
            </w:r>
          </w:p>
        </w:tc>
        <w:tc>
          <w:tcPr>
            <w:tcW w:w="408" w:type="pct"/>
            <w:vAlign w:val="center"/>
          </w:tcPr>
          <w:p>
            <w:pPr>
              <w:spacing w:line="240" w:lineRule="auto"/>
              <w:ind w:firstLine="0" w:firstLineChars="0"/>
              <w:jc w:val="center"/>
              <w:rPr>
                <w:color w:val="auto"/>
                <w:sz w:val="24"/>
              </w:rPr>
            </w:pPr>
            <w:r>
              <w:rPr>
                <w:color w:val="auto"/>
                <w:sz w:val="24"/>
              </w:rPr>
              <w:t>16</w:t>
            </w:r>
          </w:p>
        </w:tc>
        <w:tc>
          <w:tcPr>
            <w:tcW w:w="408" w:type="pct"/>
            <w:vAlign w:val="center"/>
          </w:tcPr>
          <w:p>
            <w:pPr>
              <w:spacing w:line="240" w:lineRule="auto"/>
              <w:ind w:firstLine="0" w:firstLineChars="0"/>
              <w:jc w:val="center"/>
              <w:rPr>
                <w:color w:val="auto"/>
                <w:sz w:val="24"/>
              </w:rPr>
            </w:pPr>
            <w:r>
              <w:rPr>
                <w:rFonts w:hint="eastAsia"/>
                <w:color w:val="auto"/>
                <w:sz w:val="24"/>
              </w:rPr>
              <w:t>15</w:t>
            </w:r>
          </w:p>
        </w:tc>
        <w:tc>
          <w:tcPr>
            <w:tcW w:w="1057" w:type="pct"/>
            <w:gridSpan w:val="2"/>
            <w:vMerge w:val="restart"/>
            <w:vAlign w:val="center"/>
          </w:tcPr>
          <w:p>
            <w:pPr>
              <w:spacing w:line="240" w:lineRule="auto"/>
              <w:ind w:firstLine="0" w:firstLineChars="0"/>
              <w:jc w:val="center"/>
              <w:rPr>
                <w:color w:val="auto"/>
                <w:sz w:val="24"/>
              </w:rPr>
            </w:pPr>
            <w:r>
              <w:rPr>
                <w:rFonts w:hint="eastAsia"/>
                <w:color w:val="auto"/>
                <w:sz w:val="24"/>
              </w:rPr>
              <w:t>/</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《棉布单位产品可比电耗、综合能耗限额及计算方法》（DB33/ 757-2015）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Align w:val="center"/>
          </w:tcPr>
          <w:p>
            <w:pPr>
              <w:spacing w:line="240" w:lineRule="auto"/>
              <w:ind w:firstLine="0" w:firstLineChars="0"/>
              <w:jc w:val="center"/>
              <w:rPr>
                <w:color w:val="auto"/>
                <w:sz w:val="24"/>
                <w:szCs w:val="24"/>
              </w:rPr>
            </w:pPr>
            <w:r>
              <w:rPr>
                <w:rFonts w:hint="eastAsia"/>
                <w:color w:val="auto"/>
                <w:sz w:val="24"/>
                <w:szCs w:val="24"/>
              </w:rPr>
              <w:t>综合能耗（kgce/</w:t>
            </w:r>
            <w:r>
              <w:rPr>
                <w:color w:val="auto"/>
                <w:sz w:val="24"/>
                <w:szCs w:val="24"/>
              </w:rPr>
              <w:t>hm</w:t>
            </w:r>
            <w:r>
              <w:rPr>
                <w:rFonts w:hint="eastAsia"/>
                <w:color w:val="auto"/>
                <w:sz w:val="24"/>
                <w:szCs w:val="24"/>
              </w:rPr>
              <w:t>）</w:t>
            </w:r>
          </w:p>
        </w:tc>
        <w:tc>
          <w:tcPr>
            <w:tcW w:w="408" w:type="pct"/>
            <w:vAlign w:val="center"/>
          </w:tcPr>
          <w:p>
            <w:pPr>
              <w:spacing w:line="240" w:lineRule="auto"/>
              <w:ind w:firstLine="0" w:firstLineChars="0"/>
              <w:jc w:val="center"/>
              <w:rPr>
                <w:color w:val="auto"/>
                <w:sz w:val="24"/>
              </w:rPr>
            </w:pPr>
            <w:r>
              <w:rPr>
                <w:rFonts w:hint="eastAsia"/>
                <w:color w:val="auto"/>
                <w:sz w:val="24"/>
              </w:rPr>
              <w:t>4.5</w:t>
            </w:r>
          </w:p>
        </w:tc>
        <w:tc>
          <w:tcPr>
            <w:tcW w:w="408" w:type="pct"/>
            <w:vAlign w:val="center"/>
          </w:tcPr>
          <w:p>
            <w:pPr>
              <w:spacing w:line="240" w:lineRule="auto"/>
              <w:ind w:firstLine="0" w:firstLineChars="0"/>
              <w:jc w:val="center"/>
              <w:rPr>
                <w:color w:val="auto"/>
                <w:sz w:val="24"/>
              </w:rPr>
            </w:pPr>
            <w:r>
              <w:rPr>
                <w:rFonts w:hint="eastAsia"/>
                <w:color w:val="auto"/>
                <w:sz w:val="24"/>
              </w:rPr>
              <w:t>4</w:t>
            </w:r>
          </w:p>
        </w:tc>
        <w:tc>
          <w:tcPr>
            <w:tcW w:w="408" w:type="pct"/>
            <w:vAlign w:val="center"/>
          </w:tcPr>
          <w:p>
            <w:pPr>
              <w:spacing w:line="240" w:lineRule="auto"/>
              <w:ind w:firstLine="0" w:firstLineChars="0"/>
              <w:jc w:val="center"/>
              <w:rPr>
                <w:color w:val="auto"/>
                <w:sz w:val="24"/>
              </w:rPr>
            </w:pPr>
            <w:r>
              <w:rPr>
                <w:rFonts w:hint="eastAsia"/>
                <w:color w:val="auto"/>
                <w:sz w:val="24"/>
              </w:rPr>
              <w:t>3</w:t>
            </w:r>
          </w:p>
        </w:tc>
        <w:tc>
          <w:tcPr>
            <w:tcW w:w="1057" w:type="pct"/>
            <w:gridSpan w:val="2"/>
            <w:vMerge w:val="continue"/>
            <w:vAlign w:val="center"/>
          </w:tcPr>
          <w:p>
            <w:pPr>
              <w:spacing w:line="240" w:lineRule="auto"/>
              <w:ind w:firstLine="0" w:firstLineChars="0"/>
              <w:jc w:val="center"/>
              <w:rPr>
                <w:color w:val="auto"/>
                <w:sz w:val="24"/>
              </w:rPr>
            </w:pP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color w:val="auto"/>
                <w:sz w:val="24"/>
              </w:rPr>
              <w:t>27</w:t>
            </w:r>
          </w:p>
        </w:tc>
        <w:tc>
          <w:tcPr>
            <w:tcW w:w="627" w:type="pct"/>
            <w:vAlign w:val="center"/>
          </w:tcPr>
          <w:p>
            <w:pPr>
              <w:spacing w:line="240" w:lineRule="auto"/>
              <w:ind w:firstLine="0" w:firstLineChars="0"/>
              <w:jc w:val="center"/>
              <w:rPr>
                <w:color w:val="auto"/>
                <w:sz w:val="24"/>
              </w:rPr>
            </w:pPr>
            <w:r>
              <w:rPr>
                <w:rFonts w:hint="eastAsia"/>
                <w:color w:val="auto"/>
                <w:sz w:val="24"/>
              </w:rPr>
              <w:t>棉纱</w:t>
            </w:r>
          </w:p>
        </w:tc>
        <w:tc>
          <w:tcPr>
            <w:tcW w:w="792" w:type="pct"/>
            <w:vAlign w:val="center"/>
          </w:tcPr>
          <w:p>
            <w:pPr>
              <w:spacing w:line="240" w:lineRule="auto"/>
              <w:ind w:firstLine="0" w:firstLineChars="0"/>
              <w:jc w:val="center"/>
              <w:rPr>
                <w:color w:val="auto"/>
                <w:sz w:val="24"/>
              </w:rPr>
            </w:pPr>
            <w:r>
              <w:rPr>
                <w:rFonts w:hint="eastAsia"/>
                <w:color w:val="auto"/>
                <w:sz w:val="24"/>
              </w:rPr>
              <w:t>单位电耗（k</w:t>
            </w:r>
            <w:r>
              <w:rPr>
                <w:color w:val="auto"/>
                <w:sz w:val="24"/>
              </w:rPr>
              <w:t>W·h</w:t>
            </w:r>
            <w:r>
              <w:rPr>
                <w:rFonts w:hint="eastAsia"/>
                <w:color w:val="auto"/>
                <w:sz w:val="24"/>
              </w:rPr>
              <w:t>/</w:t>
            </w:r>
            <w:r>
              <w:rPr>
                <w:color w:val="auto"/>
                <w:sz w:val="24"/>
              </w:rPr>
              <w:t>t</w:t>
            </w:r>
            <w:r>
              <w:rPr>
                <w:rFonts w:hint="eastAsia"/>
                <w:color w:val="auto"/>
                <w:sz w:val="24"/>
              </w:rPr>
              <w:t>）</w:t>
            </w:r>
          </w:p>
        </w:tc>
        <w:tc>
          <w:tcPr>
            <w:tcW w:w="408" w:type="pct"/>
            <w:vAlign w:val="center"/>
          </w:tcPr>
          <w:p>
            <w:pPr>
              <w:spacing w:line="240" w:lineRule="auto"/>
              <w:ind w:firstLine="0" w:firstLineChars="0"/>
              <w:jc w:val="center"/>
              <w:rPr>
                <w:color w:val="auto"/>
                <w:sz w:val="24"/>
              </w:rPr>
            </w:pPr>
            <w:r>
              <w:rPr>
                <w:rFonts w:hint="eastAsia"/>
                <w:color w:val="auto"/>
                <w:sz w:val="24"/>
              </w:rPr>
              <w:t>1</w:t>
            </w:r>
            <w:r>
              <w:rPr>
                <w:color w:val="auto"/>
                <w:sz w:val="24"/>
              </w:rPr>
              <w:t>650</w:t>
            </w:r>
          </w:p>
        </w:tc>
        <w:tc>
          <w:tcPr>
            <w:tcW w:w="408" w:type="pct"/>
            <w:vAlign w:val="center"/>
          </w:tcPr>
          <w:p>
            <w:pPr>
              <w:spacing w:line="240" w:lineRule="auto"/>
              <w:ind w:firstLine="0" w:firstLineChars="0"/>
              <w:jc w:val="center"/>
              <w:rPr>
                <w:color w:val="auto"/>
                <w:sz w:val="24"/>
              </w:rPr>
            </w:pPr>
            <w:r>
              <w:rPr>
                <w:rFonts w:hint="eastAsia"/>
                <w:color w:val="auto"/>
                <w:sz w:val="24"/>
              </w:rPr>
              <w:t>1600</w:t>
            </w:r>
          </w:p>
        </w:tc>
        <w:tc>
          <w:tcPr>
            <w:tcW w:w="408" w:type="pct"/>
            <w:vAlign w:val="center"/>
          </w:tcPr>
          <w:p>
            <w:pPr>
              <w:spacing w:line="240" w:lineRule="auto"/>
              <w:ind w:firstLine="0" w:firstLineChars="0"/>
              <w:jc w:val="center"/>
              <w:rPr>
                <w:color w:val="auto"/>
                <w:sz w:val="24"/>
              </w:rPr>
            </w:pPr>
            <w:r>
              <w:rPr>
                <w:rFonts w:hint="eastAsia"/>
                <w:color w:val="auto"/>
                <w:sz w:val="24"/>
              </w:rPr>
              <w:t>1500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w:t>
            </w:r>
          </w:p>
        </w:tc>
        <w:tc>
          <w:tcPr>
            <w:tcW w:w="1044" w:type="pct"/>
            <w:vAlign w:val="center"/>
          </w:tcPr>
          <w:p>
            <w:pPr>
              <w:spacing w:line="240" w:lineRule="auto"/>
              <w:ind w:firstLine="0" w:firstLineChars="0"/>
              <w:jc w:val="center"/>
              <w:rPr>
                <w:color w:val="auto"/>
                <w:sz w:val="24"/>
              </w:rPr>
            </w:pPr>
            <w:r>
              <w:rPr>
                <w:rFonts w:hint="eastAsia"/>
                <w:color w:val="auto"/>
                <w:sz w:val="24"/>
              </w:rPr>
              <w:t>《棉纱单位产品可比综合电耗限额及计算方法》（DB33 758-2015）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restart"/>
            <w:vAlign w:val="center"/>
          </w:tcPr>
          <w:p>
            <w:pPr>
              <w:spacing w:line="240" w:lineRule="auto"/>
              <w:ind w:firstLine="0" w:firstLineChars="0"/>
              <w:jc w:val="center"/>
              <w:rPr>
                <w:color w:val="auto"/>
                <w:sz w:val="24"/>
              </w:rPr>
            </w:pPr>
            <w:r>
              <w:rPr>
                <w:color w:val="auto"/>
                <w:sz w:val="24"/>
              </w:rPr>
              <w:t>28</w:t>
            </w:r>
          </w:p>
        </w:tc>
        <w:tc>
          <w:tcPr>
            <w:tcW w:w="627" w:type="pct"/>
            <w:vMerge w:val="restart"/>
            <w:vAlign w:val="center"/>
          </w:tcPr>
          <w:p>
            <w:pPr>
              <w:spacing w:line="240" w:lineRule="auto"/>
              <w:ind w:firstLine="0" w:firstLineChars="0"/>
              <w:jc w:val="center"/>
              <w:rPr>
                <w:color w:val="auto"/>
                <w:sz w:val="24"/>
              </w:rPr>
            </w:pPr>
            <w:r>
              <w:rPr>
                <w:rFonts w:hint="eastAsia"/>
                <w:color w:val="auto"/>
                <w:sz w:val="24"/>
              </w:rPr>
              <w:t>焊接件</w:t>
            </w:r>
          </w:p>
        </w:tc>
        <w:tc>
          <w:tcPr>
            <w:tcW w:w="792" w:type="pct"/>
            <w:vMerge w:val="restart"/>
            <w:vAlign w:val="center"/>
          </w:tcPr>
          <w:p>
            <w:pPr>
              <w:spacing w:line="240" w:lineRule="auto"/>
              <w:ind w:firstLine="0" w:firstLineChars="0"/>
              <w:jc w:val="center"/>
              <w:rPr>
                <w:color w:val="auto"/>
                <w:sz w:val="24"/>
              </w:rPr>
            </w:pPr>
            <w:r>
              <w:rPr>
                <w:rFonts w:hint="eastAsia"/>
                <w:color w:val="auto"/>
                <w:sz w:val="24"/>
              </w:rPr>
              <w:t>综合能耗（kgce/</w:t>
            </w:r>
            <w:r>
              <w:rPr>
                <w:color w:val="auto"/>
                <w:sz w:val="24"/>
              </w:rPr>
              <w:t>t</w:t>
            </w:r>
            <w:r>
              <w:rPr>
                <w:rFonts w:hint="eastAsia"/>
                <w:color w:val="auto"/>
                <w:sz w:val="24"/>
              </w:rPr>
              <w:t>）</w:t>
            </w: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527</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重型/矿山</w:t>
            </w:r>
            <w:r>
              <w:rPr>
                <w:color w:val="auto"/>
                <w:sz w:val="24"/>
              </w:rPr>
              <w:t>机械</w:t>
            </w:r>
          </w:p>
        </w:tc>
        <w:tc>
          <w:tcPr>
            <w:tcW w:w="1044" w:type="pct"/>
            <w:vMerge w:val="restart"/>
            <w:vAlign w:val="center"/>
          </w:tcPr>
          <w:p>
            <w:pPr>
              <w:spacing w:line="240" w:lineRule="auto"/>
              <w:ind w:firstLine="0" w:firstLineChars="0"/>
              <w:jc w:val="center"/>
              <w:rPr>
                <w:color w:val="auto"/>
                <w:sz w:val="24"/>
              </w:rPr>
            </w:pPr>
            <w:r>
              <w:rPr>
                <w:rFonts w:hint="eastAsia"/>
                <w:color w:val="auto"/>
                <w:sz w:val="24"/>
              </w:rPr>
              <w:t>《机械工业工程节能</w:t>
            </w:r>
          </w:p>
          <w:p>
            <w:pPr>
              <w:spacing w:line="240" w:lineRule="auto"/>
              <w:ind w:firstLine="0" w:firstLineChars="0"/>
              <w:jc w:val="center"/>
              <w:rPr>
                <w:color w:val="auto"/>
                <w:sz w:val="24"/>
              </w:rPr>
            </w:pPr>
            <w:r>
              <w:rPr>
                <w:rFonts w:hint="eastAsia"/>
                <w:color w:val="auto"/>
                <w:sz w:val="24"/>
              </w:rPr>
              <w:t>设计规范》（GB</w:t>
            </w:r>
            <w:r>
              <w:rPr>
                <w:color w:val="auto"/>
                <w:sz w:val="24"/>
              </w:rPr>
              <w:t xml:space="preserve"> </w:t>
            </w:r>
            <w:r>
              <w:rPr>
                <w:rFonts w:hint="eastAsia"/>
                <w:color w:val="auto"/>
                <w:sz w:val="24"/>
              </w:rPr>
              <w:t>50910-2013）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232</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工程</w:t>
            </w:r>
            <w:r>
              <w:rPr>
                <w:color w:val="auto"/>
                <w:sz w:val="24"/>
              </w:rPr>
              <w:t>机械</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345</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通用</w:t>
            </w:r>
            <w:r>
              <w:rPr>
                <w:color w:val="auto"/>
                <w:sz w:val="24"/>
              </w:rPr>
              <w:t>机械</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174</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472" w:type="pct"/>
            <w:vMerge w:val="restart"/>
            <w:vAlign w:val="center"/>
          </w:tcPr>
          <w:p>
            <w:pPr>
              <w:spacing w:line="240" w:lineRule="auto"/>
              <w:ind w:firstLine="0" w:firstLineChars="0"/>
              <w:jc w:val="center"/>
              <w:rPr>
                <w:color w:val="auto"/>
                <w:sz w:val="24"/>
              </w:rPr>
            </w:pPr>
            <w:r>
              <w:rPr>
                <w:rFonts w:hint="eastAsia"/>
                <w:color w:val="auto"/>
                <w:sz w:val="24"/>
              </w:rPr>
              <w:t>汽车</w:t>
            </w:r>
          </w:p>
        </w:tc>
        <w:tc>
          <w:tcPr>
            <w:tcW w:w="585" w:type="pct"/>
            <w:vAlign w:val="center"/>
          </w:tcPr>
          <w:p>
            <w:pPr>
              <w:spacing w:line="240" w:lineRule="auto"/>
              <w:ind w:firstLine="0" w:firstLineChars="0"/>
              <w:jc w:val="center"/>
              <w:rPr>
                <w:color w:val="auto"/>
                <w:sz w:val="24"/>
              </w:rPr>
            </w:pPr>
            <w:r>
              <w:rPr>
                <w:rFonts w:hint="eastAsia"/>
                <w:color w:val="auto"/>
                <w:sz w:val="24"/>
              </w:rPr>
              <w:t>重型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118</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rPr>
              <w:t>中型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Merge w:val="continue"/>
            <w:vAlign w:val="center"/>
          </w:tcPr>
          <w:p>
            <w:pPr>
              <w:spacing w:line="240" w:lineRule="auto"/>
              <w:ind w:firstLine="0" w:firstLineChars="0"/>
              <w:jc w:val="center"/>
              <w:rPr>
                <w:color w:val="auto"/>
                <w:sz w:val="24"/>
              </w:rPr>
            </w:pPr>
          </w:p>
        </w:tc>
        <w:tc>
          <w:tcPr>
            <w:tcW w:w="627" w:type="pct"/>
            <w:vMerge w:val="continue"/>
            <w:vAlign w:val="center"/>
          </w:tcPr>
          <w:p>
            <w:pPr>
              <w:spacing w:line="240" w:lineRule="auto"/>
              <w:ind w:firstLine="0" w:firstLineChars="0"/>
              <w:jc w:val="center"/>
              <w:rPr>
                <w:color w:val="auto"/>
                <w:sz w:val="24"/>
              </w:rPr>
            </w:pPr>
          </w:p>
        </w:tc>
        <w:tc>
          <w:tcPr>
            <w:tcW w:w="792" w:type="pct"/>
            <w:vMerge w:val="continue"/>
            <w:vAlign w:val="center"/>
          </w:tcPr>
          <w:p>
            <w:pPr>
              <w:spacing w:line="240" w:lineRule="auto"/>
              <w:ind w:firstLine="0" w:firstLineChars="0"/>
              <w:jc w:val="center"/>
              <w:rPr>
                <w:color w:val="auto"/>
                <w:sz w:val="24"/>
              </w:rPr>
            </w:pPr>
          </w:p>
        </w:tc>
        <w:tc>
          <w:tcPr>
            <w:tcW w:w="408" w:type="pct"/>
          </w:tcPr>
          <w:p>
            <w:pPr>
              <w:spacing w:line="240" w:lineRule="auto"/>
              <w:ind w:firstLine="0" w:firstLineChars="0"/>
              <w:jc w:val="center"/>
              <w:rPr>
                <w:color w:val="auto"/>
                <w:sz w:val="24"/>
              </w:rPr>
            </w:pPr>
            <w:r>
              <w:rPr>
                <w:color w:val="auto"/>
              </w:rPr>
              <w:t>/</w:t>
            </w:r>
          </w:p>
        </w:tc>
        <w:tc>
          <w:tcPr>
            <w:tcW w:w="408" w:type="pct"/>
            <w:vAlign w:val="center"/>
          </w:tcPr>
          <w:p>
            <w:pPr>
              <w:spacing w:line="240" w:lineRule="auto"/>
              <w:ind w:firstLine="0" w:firstLineChars="0"/>
              <w:jc w:val="center"/>
              <w:rPr>
                <w:color w:val="auto"/>
                <w:sz w:val="24"/>
              </w:rPr>
            </w:pPr>
            <w:r>
              <w:rPr>
                <w:rFonts w:hint="eastAsia"/>
                <w:color w:val="auto"/>
                <w:sz w:val="24"/>
              </w:rPr>
              <w:t>140</w:t>
            </w:r>
          </w:p>
        </w:tc>
        <w:tc>
          <w:tcPr>
            <w:tcW w:w="408" w:type="pct"/>
            <w:vAlign w:val="center"/>
          </w:tcPr>
          <w:p>
            <w:pPr>
              <w:spacing w:line="240" w:lineRule="auto"/>
              <w:ind w:firstLine="0" w:firstLineChars="0"/>
              <w:jc w:val="center"/>
              <w:rPr>
                <w:color w:val="auto"/>
                <w:sz w:val="24"/>
              </w:rPr>
            </w:pPr>
            <w:r>
              <w:rPr>
                <w:rFonts w:hint="eastAsia"/>
                <w:color w:val="auto"/>
                <w:sz w:val="24"/>
              </w:rPr>
              <w:t>/</w:t>
            </w:r>
          </w:p>
        </w:tc>
        <w:tc>
          <w:tcPr>
            <w:tcW w:w="472" w:type="pct"/>
            <w:vMerge w:val="continue"/>
            <w:vAlign w:val="center"/>
          </w:tcPr>
          <w:p>
            <w:pPr>
              <w:spacing w:line="240" w:lineRule="auto"/>
              <w:ind w:firstLine="0" w:firstLineChars="0"/>
              <w:jc w:val="center"/>
              <w:rPr>
                <w:color w:val="auto"/>
                <w:sz w:val="24"/>
              </w:rPr>
            </w:pPr>
          </w:p>
        </w:tc>
        <w:tc>
          <w:tcPr>
            <w:tcW w:w="585" w:type="pct"/>
            <w:vAlign w:val="center"/>
          </w:tcPr>
          <w:p>
            <w:pPr>
              <w:spacing w:line="240" w:lineRule="auto"/>
              <w:ind w:firstLine="0" w:firstLineChars="0"/>
              <w:jc w:val="center"/>
              <w:rPr>
                <w:color w:val="auto"/>
                <w:sz w:val="24"/>
              </w:rPr>
            </w:pPr>
            <w:r>
              <w:rPr>
                <w:rFonts w:hint="eastAsia"/>
                <w:color w:val="auto"/>
                <w:sz w:val="24"/>
              </w:rPr>
              <w:t>轻型</w:t>
            </w:r>
          </w:p>
        </w:tc>
        <w:tc>
          <w:tcPr>
            <w:tcW w:w="1044" w:type="pct"/>
            <w:vMerge w:val="continue"/>
            <w:vAlign w:val="center"/>
          </w:tcPr>
          <w:p>
            <w:pPr>
              <w:spacing w:line="240" w:lineRule="auto"/>
              <w:ind w:firstLine="0" w:firstLineChars="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56" w:type="pct"/>
            <w:vAlign w:val="center"/>
          </w:tcPr>
          <w:p>
            <w:pPr>
              <w:spacing w:line="240" w:lineRule="auto"/>
              <w:ind w:firstLine="0" w:firstLineChars="0"/>
              <w:jc w:val="center"/>
              <w:rPr>
                <w:color w:val="auto"/>
                <w:sz w:val="24"/>
              </w:rPr>
            </w:pPr>
            <w:r>
              <w:rPr>
                <w:color w:val="auto"/>
                <w:sz w:val="24"/>
              </w:rPr>
              <w:t>29</w:t>
            </w:r>
          </w:p>
        </w:tc>
        <w:tc>
          <w:tcPr>
            <w:tcW w:w="627" w:type="pct"/>
            <w:vAlign w:val="center"/>
          </w:tcPr>
          <w:p>
            <w:pPr>
              <w:spacing w:line="240" w:lineRule="auto"/>
              <w:ind w:firstLine="0" w:firstLineChars="0"/>
              <w:jc w:val="center"/>
              <w:rPr>
                <w:color w:val="auto"/>
                <w:sz w:val="24"/>
              </w:rPr>
            </w:pPr>
            <w:r>
              <w:rPr>
                <w:rFonts w:hint="eastAsia"/>
                <w:color w:val="auto"/>
                <w:sz w:val="24"/>
              </w:rPr>
              <w:t>卷烟纸</w:t>
            </w:r>
          </w:p>
        </w:tc>
        <w:tc>
          <w:tcPr>
            <w:tcW w:w="792" w:type="pct"/>
            <w:vAlign w:val="center"/>
          </w:tcPr>
          <w:p>
            <w:pPr>
              <w:spacing w:line="240" w:lineRule="auto"/>
              <w:ind w:firstLine="0" w:firstLineChars="0"/>
              <w:jc w:val="center"/>
              <w:rPr>
                <w:color w:val="auto"/>
                <w:sz w:val="24"/>
              </w:rPr>
            </w:pPr>
            <w:r>
              <w:rPr>
                <w:rFonts w:hint="eastAsia"/>
                <w:color w:val="auto"/>
                <w:sz w:val="24"/>
              </w:rPr>
              <w:t>综合能耗（kgce/t）</w:t>
            </w:r>
          </w:p>
        </w:tc>
        <w:tc>
          <w:tcPr>
            <w:tcW w:w="408" w:type="pct"/>
            <w:vAlign w:val="center"/>
          </w:tcPr>
          <w:p>
            <w:pPr>
              <w:spacing w:line="240" w:lineRule="auto"/>
              <w:ind w:firstLine="0" w:firstLineChars="0"/>
              <w:jc w:val="center"/>
              <w:rPr>
                <w:color w:val="auto"/>
                <w:sz w:val="24"/>
              </w:rPr>
            </w:pPr>
            <w:r>
              <w:rPr>
                <w:rFonts w:hint="eastAsia"/>
                <w:color w:val="auto"/>
                <w:sz w:val="24"/>
              </w:rPr>
              <w:t>900</w:t>
            </w:r>
          </w:p>
        </w:tc>
        <w:tc>
          <w:tcPr>
            <w:tcW w:w="408" w:type="pct"/>
            <w:vAlign w:val="center"/>
          </w:tcPr>
          <w:p>
            <w:pPr>
              <w:spacing w:line="240" w:lineRule="auto"/>
              <w:ind w:firstLine="0" w:firstLineChars="0"/>
              <w:jc w:val="center"/>
              <w:rPr>
                <w:color w:val="auto"/>
                <w:sz w:val="24"/>
              </w:rPr>
            </w:pPr>
            <w:r>
              <w:rPr>
                <w:rFonts w:hint="eastAsia"/>
                <w:color w:val="auto"/>
                <w:sz w:val="24"/>
              </w:rPr>
              <w:t>855</w:t>
            </w:r>
          </w:p>
        </w:tc>
        <w:tc>
          <w:tcPr>
            <w:tcW w:w="408" w:type="pct"/>
            <w:vAlign w:val="center"/>
          </w:tcPr>
          <w:p>
            <w:pPr>
              <w:spacing w:line="240" w:lineRule="auto"/>
              <w:ind w:firstLine="0" w:firstLineChars="0"/>
              <w:jc w:val="center"/>
              <w:rPr>
                <w:color w:val="auto"/>
                <w:sz w:val="24"/>
              </w:rPr>
            </w:pPr>
            <w:r>
              <w:rPr>
                <w:rFonts w:hint="eastAsia"/>
                <w:color w:val="auto"/>
                <w:sz w:val="24"/>
              </w:rPr>
              <w:t>820</w:t>
            </w:r>
          </w:p>
        </w:tc>
        <w:tc>
          <w:tcPr>
            <w:tcW w:w="1057" w:type="pct"/>
            <w:gridSpan w:val="2"/>
            <w:vAlign w:val="center"/>
          </w:tcPr>
          <w:p>
            <w:pPr>
              <w:spacing w:line="240" w:lineRule="auto"/>
              <w:ind w:firstLine="0" w:firstLineChars="0"/>
              <w:jc w:val="center"/>
              <w:rPr>
                <w:color w:val="auto"/>
                <w:sz w:val="24"/>
              </w:rPr>
            </w:pPr>
            <w:r>
              <w:rPr>
                <w:rFonts w:hint="eastAsia"/>
                <w:color w:val="auto"/>
                <w:sz w:val="24"/>
              </w:rPr>
              <w:t>/</w:t>
            </w:r>
          </w:p>
        </w:tc>
        <w:tc>
          <w:tcPr>
            <w:tcW w:w="1044" w:type="pct"/>
            <w:vAlign w:val="center"/>
          </w:tcPr>
          <w:p>
            <w:pPr>
              <w:spacing w:line="240" w:lineRule="auto"/>
              <w:ind w:firstLine="0" w:firstLineChars="0"/>
              <w:jc w:val="center"/>
              <w:rPr>
                <w:color w:val="auto"/>
                <w:sz w:val="24"/>
              </w:rPr>
            </w:pPr>
            <w:r>
              <w:rPr>
                <w:rFonts w:hint="eastAsia"/>
                <w:color w:val="auto"/>
                <w:sz w:val="24"/>
              </w:rPr>
              <w:t>《机制纸板和卷烟纸单位产品能耗限额及计算方法》（DB33/686-2019）</w:t>
            </w:r>
          </w:p>
        </w:tc>
      </w:tr>
    </w:tbl>
    <w:p>
      <w:pPr>
        <w:ind w:firstLine="0" w:firstLineChars="0"/>
        <w:rPr>
          <w:color w:val="auto"/>
        </w:rPr>
      </w:pPr>
    </w:p>
    <w:p>
      <w:pPr>
        <w:ind w:firstLine="560"/>
        <w:rPr>
          <w:color w:val="auto"/>
        </w:rPr>
      </w:pPr>
    </w:p>
    <w:p>
      <w:pPr>
        <w:ind w:firstLine="560"/>
        <w:rPr>
          <w:color w:val="auto"/>
        </w:rPr>
        <w:sectPr>
          <w:pgSz w:w="16838" w:h="11906" w:orient="landscape"/>
          <w:pgMar w:top="1800" w:right="1440" w:bottom="1800" w:left="1440" w:header="850" w:footer="992" w:gutter="0"/>
          <w:cols w:space="425" w:num="1"/>
          <w:docGrid w:type="lines" w:linePitch="381" w:charSpace="0"/>
        </w:sectPr>
      </w:pPr>
    </w:p>
    <w:p>
      <w:pPr>
        <w:pStyle w:val="2"/>
        <w:rPr>
          <w:color w:val="auto"/>
        </w:rPr>
      </w:pPr>
      <w:bookmarkStart w:id="69" w:name="_Toc40625204"/>
      <w:r>
        <w:rPr>
          <w:rFonts w:hint="eastAsia"/>
          <w:color w:val="auto"/>
        </w:rPr>
        <w:t>区域</w:t>
      </w:r>
      <w:r>
        <w:rPr>
          <w:color w:val="auto"/>
        </w:rPr>
        <w:t>节能措施</w:t>
      </w:r>
      <w:bookmarkEnd w:id="69"/>
    </w:p>
    <w:p>
      <w:pPr>
        <w:pStyle w:val="3"/>
        <w:ind w:firstLine="643"/>
        <w:rPr>
          <w:color w:val="auto"/>
        </w:rPr>
      </w:pPr>
      <w:bookmarkStart w:id="70" w:name="_Toc40625205"/>
      <w:r>
        <w:rPr>
          <w:rFonts w:hint="eastAsia"/>
          <w:color w:val="auto"/>
        </w:rPr>
        <w:t>7.1区域</w:t>
      </w:r>
      <w:r>
        <w:rPr>
          <w:color w:val="auto"/>
        </w:rPr>
        <w:t>节能技术措施</w:t>
      </w:r>
      <w:bookmarkEnd w:id="70"/>
    </w:p>
    <w:p>
      <w:pPr>
        <w:pStyle w:val="4"/>
        <w:ind w:firstLine="602"/>
        <w:rPr>
          <w:color w:val="auto"/>
        </w:rPr>
      </w:pPr>
      <w:bookmarkStart w:id="71" w:name="_Toc40625206"/>
      <w:r>
        <w:rPr>
          <w:rFonts w:hint="eastAsia"/>
          <w:color w:val="auto"/>
        </w:rPr>
        <w:t>7.1.1行业</w:t>
      </w:r>
      <w:r>
        <w:rPr>
          <w:color w:val="auto"/>
        </w:rPr>
        <w:t>节能技术措施</w:t>
      </w:r>
      <w:bookmarkEnd w:id="71"/>
    </w:p>
    <w:p>
      <w:pPr>
        <w:pStyle w:val="5"/>
        <w:ind w:firstLine="560"/>
        <w:rPr>
          <w:color w:val="auto"/>
        </w:rPr>
      </w:pPr>
      <w:r>
        <w:rPr>
          <w:rFonts w:hint="eastAsia"/>
          <w:color w:val="auto"/>
        </w:rPr>
        <w:t>7.1.1.</w:t>
      </w:r>
      <w:r>
        <w:rPr>
          <w:color w:val="auto"/>
        </w:rPr>
        <w:t>1</w:t>
      </w:r>
      <w:r>
        <w:rPr>
          <w:rFonts w:hint="eastAsia"/>
          <w:color w:val="auto"/>
        </w:rPr>
        <w:t>玻璃制造</w:t>
      </w:r>
      <w:r>
        <w:rPr>
          <w:color w:val="auto"/>
        </w:rPr>
        <w:t>行业节能技术措施</w:t>
      </w:r>
    </w:p>
    <w:p>
      <w:pPr>
        <w:ind w:firstLine="560"/>
        <w:rPr>
          <w:color w:val="auto"/>
        </w:rPr>
      </w:pPr>
      <w:r>
        <w:rPr>
          <w:rFonts w:hint="eastAsia"/>
          <w:color w:val="auto"/>
        </w:rPr>
        <w:t>（1）钛纳硅超级绝热材料保温节能技术</w:t>
      </w:r>
    </w:p>
    <w:p>
      <w:pPr>
        <w:ind w:firstLine="560"/>
        <w:rPr>
          <w:color w:val="auto"/>
        </w:rPr>
      </w:pPr>
      <w:r>
        <w:rPr>
          <w:rFonts w:hint="eastAsia"/>
          <w:color w:val="auto"/>
        </w:rPr>
        <w:t>玻璃窑炉的炉体保温材料一般为轻质保温砖、磷酸盐珠光体、珍珠岩等，这些保温材料的导热系数较高，通常在0.05 W/m</w:t>
      </w:r>
      <w:r>
        <w:rPr>
          <w:color w:val="auto"/>
        </w:rPr>
        <w:t>·</w:t>
      </w:r>
      <w:r>
        <w:rPr>
          <w:rFonts w:hint="eastAsia"/>
          <w:color w:val="auto"/>
        </w:rPr>
        <w:t>K（常温）以上，即使使用厚度较大，散热量仍然很大。玻璃窑炉体散热量可占玻璃熔化总能耗的1/3。而美国、日本等发达国家仅通过提高保温材料性就能取得约 30%的节能效果。</w:t>
      </w:r>
    </w:p>
    <w:p>
      <w:pPr>
        <w:ind w:firstLine="560"/>
        <w:rPr>
          <w:color w:val="auto"/>
        </w:rPr>
      </w:pPr>
      <w:r>
        <w:rPr>
          <w:rFonts w:hint="eastAsia"/>
          <w:color w:val="auto"/>
        </w:rPr>
        <w:t>由于钛纳硅超级绝热材料的绝热性能（</w:t>
      </w:r>
      <w:r>
        <w:rPr>
          <w:color w:val="auto"/>
        </w:rPr>
        <w:t>0.014~0.016</w:t>
      </w:r>
      <w:r>
        <w:rPr>
          <w:rFonts w:hint="eastAsia"/>
          <w:color w:val="auto"/>
        </w:rPr>
        <w:t>W/m</w:t>
      </w:r>
      <w:r>
        <w:rPr>
          <w:color w:val="auto"/>
        </w:rPr>
        <w:t>·</w:t>
      </w:r>
      <w:r>
        <w:rPr>
          <w:rFonts w:hint="eastAsia"/>
          <w:color w:val="auto"/>
        </w:rPr>
        <w:t>K）远远优于传统的绝热材料，所以在使用时表面能量损失极少，从而达到明显的节能效果或更优秀的保温设计方案；同时钛纳硅材料为A1级不燃材料，安全环保；使用效果稳定，寿命长。其</w:t>
      </w:r>
      <w:r>
        <w:rPr>
          <w:color w:val="auto"/>
        </w:rPr>
        <w:t>关键技术特点为：</w:t>
      </w:r>
      <w:r>
        <w:rPr>
          <w:rFonts w:hint="eastAsia"/>
          <w:color w:val="auto"/>
        </w:rPr>
        <w:t>①气凝胶中纳米级孔洞中的空气不能自由流动，消除了空气对流传热；②气凝胶中高达80%以上的成分是空气，固体成分少，且热传导路径细长，从而大大减轻了固体热传导；③纳米级孔洞的孔径（大部分为20-50nm）小于空气分子自由程（70nm），大大减弱了空气分子发生碰撞而形成的热传导；④存在大量的气固界面，并添加了特殊的遮光剂，大大阻隔了热辐射。</w:t>
      </w:r>
    </w:p>
    <w:p>
      <w:pPr>
        <w:ind w:firstLine="560"/>
        <w:rPr>
          <w:color w:val="auto"/>
        </w:rPr>
      </w:pPr>
      <w:r>
        <w:rPr>
          <w:rFonts w:hint="eastAsia"/>
          <w:color w:val="auto"/>
        </w:rPr>
        <w:t>该技术已经在浮法玻璃生产线上、陶瓷生产线、油田蒸汽管道、原油贮罐的罐顶保温、光热发电高温管道保温上成功使用，节能效果明显。其中，海南中航特玻材料有限公司应用</w:t>
      </w:r>
      <w:r>
        <w:rPr>
          <w:color w:val="auto"/>
        </w:rPr>
        <w:t>该技术</w:t>
      </w:r>
      <w:r>
        <w:rPr>
          <w:rFonts w:hint="eastAsia"/>
          <w:color w:val="auto"/>
        </w:rPr>
        <w:t>对窑炉的熔化部大碹、澄清部大碹、蓄热室大碹、蓄热室墙体、胸墙、小炉等部位，保温总面积871m</w:t>
      </w:r>
      <w:r>
        <w:rPr>
          <w:rFonts w:hint="eastAsia"/>
          <w:color w:val="auto"/>
          <w:vertAlign w:val="superscript"/>
        </w:rPr>
        <w:t>2</w:t>
      </w:r>
      <w:r>
        <w:rPr>
          <w:rFonts w:hint="eastAsia"/>
          <w:color w:val="auto"/>
        </w:rPr>
        <w:t>，钛纳硅超级绝热彩料使用2613m</w:t>
      </w:r>
      <w:r>
        <w:rPr>
          <w:rFonts w:hint="eastAsia"/>
          <w:color w:val="auto"/>
          <w:vertAlign w:val="superscript"/>
        </w:rPr>
        <w:t>2</w:t>
      </w:r>
      <w:r>
        <w:rPr>
          <w:rFonts w:hint="eastAsia"/>
          <w:color w:val="auto"/>
        </w:rPr>
        <w:t>。保温前单耗2164kcal/kg玻璃液，保温后2096kcal/kg玻璃液，节能率3.14%；江苏华尔润集团 6 号线采取</w:t>
      </w:r>
      <w:r>
        <w:rPr>
          <w:color w:val="auto"/>
        </w:rPr>
        <w:t>相同技术措施，</w:t>
      </w:r>
      <w:r>
        <w:rPr>
          <w:rFonts w:hint="eastAsia"/>
          <w:color w:val="auto"/>
        </w:rPr>
        <w:t>保温总面积897m</w:t>
      </w:r>
      <w:r>
        <w:rPr>
          <w:rFonts w:hint="eastAsia"/>
          <w:color w:val="auto"/>
          <w:vertAlign w:val="superscript"/>
        </w:rPr>
        <w:t>2</w:t>
      </w:r>
      <w:r>
        <w:rPr>
          <w:rFonts w:hint="eastAsia"/>
          <w:color w:val="auto"/>
        </w:rPr>
        <w:t>，钛纳硅超级绝热彩料使用 2690m</w:t>
      </w:r>
      <w:r>
        <w:rPr>
          <w:rFonts w:hint="eastAsia"/>
          <w:color w:val="auto"/>
          <w:vertAlign w:val="superscript"/>
        </w:rPr>
        <w:t>2</w:t>
      </w:r>
      <w:r>
        <w:rPr>
          <w:rFonts w:hint="eastAsia"/>
          <w:color w:val="auto"/>
        </w:rPr>
        <w:t>。保温前单耗6480.8kJ/kg玻璃液，保温后6202.9kJ/kg玻璃液，节能率 4.28%。</w:t>
      </w:r>
    </w:p>
    <w:p>
      <w:pPr>
        <w:pStyle w:val="50"/>
        <w:numPr>
          <w:ilvl w:val="0"/>
          <w:numId w:val="7"/>
        </w:numPr>
        <w:ind w:firstLineChars="0"/>
        <w:rPr>
          <w:color w:val="auto"/>
        </w:rPr>
      </w:pPr>
      <w:r>
        <w:rPr>
          <w:rFonts w:hint="eastAsia"/>
          <w:color w:val="auto"/>
        </w:rPr>
        <w:t>高温远红外涂料技术</w:t>
      </w:r>
    </w:p>
    <w:p>
      <w:pPr>
        <w:ind w:firstLine="560"/>
        <w:rPr>
          <w:color w:val="auto"/>
        </w:rPr>
      </w:pPr>
      <w:r>
        <w:rPr>
          <w:rFonts w:hint="eastAsia"/>
          <w:color w:val="auto"/>
        </w:rPr>
        <w:t>高温远红外涂料是由强辐射材料组成，在高温下辐射远红外波，这些远红外波的穿透能力极强，能穿透被加热物体和燃料本身，使被加热物体里外同时受热。同时远红外波穿透燃料时，使燃料分子吸收远红外波而产生能级跃迁，释放能量，改变燃料的燃烧状态，使燃料充分燃烧。</w:t>
      </w:r>
    </w:p>
    <w:p>
      <w:pPr>
        <w:ind w:firstLine="560"/>
        <w:rPr>
          <w:color w:val="auto"/>
        </w:rPr>
      </w:pPr>
      <w:r>
        <w:rPr>
          <w:rFonts w:hint="eastAsia"/>
          <w:color w:val="auto"/>
        </w:rPr>
        <w:t>远红外线辐射涂料节能的基本原理就是提高被加热介质表面吸收率，增大辐射能传递比例。为此，通常的做法是在被加热介质表面涂刷一层高吸收率材料或在炉壁涂刷一层高发射率材料。高温远红外辐射涂料的节能机理体现为：①</w:t>
      </w:r>
      <w:r>
        <w:rPr>
          <w:color w:val="auto"/>
        </w:rPr>
        <w:t>增加炉内壁黑度（即增加发热率），增强加热炉内壁对热源传来热量吸收后的辐射传热，而反射部分相应减少，这部分热量很容易被燃烧产物（</w:t>
      </w:r>
      <w:r>
        <w:rPr>
          <w:rFonts w:hint="eastAsia"/>
          <w:color w:val="auto"/>
        </w:rPr>
        <w:t>CO</w:t>
      </w:r>
      <w:r>
        <w:rPr>
          <w:color w:val="auto"/>
          <w:vertAlign w:val="subscript"/>
        </w:rPr>
        <w:t>2</w:t>
      </w:r>
      <w:r>
        <w:rPr>
          <w:color w:val="auto"/>
        </w:rPr>
        <w:t>和</w:t>
      </w:r>
      <w:r>
        <w:rPr>
          <w:rFonts w:hint="eastAsia"/>
          <w:color w:val="auto"/>
        </w:rPr>
        <w:t>H</w:t>
      </w:r>
      <w:r>
        <w:rPr>
          <w:rFonts w:hint="eastAsia"/>
          <w:color w:val="auto"/>
          <w:vertAlign w:val="subscript"/>
        </w:rPr>
        <w:t>2</w:t>
      </w:r>
      <w:r>
        <w:rPr>
          <w:rFonts w:hint="eastAsia"/>
          <w:color w:val="auto"/>
        </w:rPr>
        <w:t>O</w:t>
      </w:r>
      <w:r>
        <w:rPr>
          <w:color w:val="auto"/>
        </w:rPr>
        <w:t>等）吸收而随烟气排出炉外。加热炉内衬用耐火材料常温下的黑度一般为</w:t>
      </w:r>
      <w:r>
        <w:rPr>
          <w:rFonts w:hint="eastAsia"/>
          <w:color w:val="auto"/>
        </w:rPr>
        <w:t>0</w:t>
      </w:r>
      <w:r>
        <w:rPr>
          <w:color w:val="auto"/>
        </w:rPr>
        <w:t>.6~0.8，而一段炉内壁常用的耐火纤维，黑度仅</w:t>
      </w:r>
      <w:r>
        <w:rPr>
          <w:rFonts w:hint="eastAsia"/>
          <w:color w:val="auto"/>
        </w:rPr>
        <w:t>0</w:t>
      </w:r>
      <w:r>
        <w:rPr>
          <w:color w:val="auto"/>
        </w:rPr>
        <w:t>.3~0.4，随着炉温的升高黑度一般大幅度下降，而远红外辐射涂料能减缓这种下降，有时甚至可以使其升高。</w:t>
      </w:r>
      <w:r>
        <w:rPr>
          <w:rFonts w:hint="eastAsia"/>
          <w:color w:val="auto"/>
        </w:rPr>
        <w:t>②</w:t>
      </w:r>
      <w:r>
        <w:rPr>
          <w:color w:val="auto"/>
        </w:rPr>
        <w:t>由于内壁的吸收和辐射作用，改变了炉内热辐射的波谱分布，将热源发出的间断式波谱转变成连续波谱，从而利于被加热物体吸收，减少被燃烧产物带走的热量。</w:t>
      </w:r>
      <w:r>
        <w:rPr>
          <w:rFonts w:hint="eastAsia"/>
          <w:color w:val="auto"/>
        </w:rPr>
        <w:t>③</w:t>
      </w:r>
      <w:r>
        <w:rPr>
          <w:color w:val="auto"/>
        </w:rPr>
        <w:t>高温辐射能量大多集中在1~5µm波段，如</w:t>
      </w:r>
      <w:r>
        <w:rPr>
          <w:rFonts w:hint="eastAsia"/>
          <w:color w:val="auto"/>
        </w:rPr>
        <w:t>1</w:t>
      </w:r>
      <w:r>
        <w:rPr>
          <w:color w:val="auto"/>
        </w:rPr>
        <w:t>000</w:t>
      </w:r>
      <w:r>
        <w:rPr>
          <w:rFonts w:hint="eastAsia" w:ascii="宋体" w:hAnsi="宋体" w:cs="宋体"/>
          <w:color w:val="auto"/>
          <w:lang w:eastAsia="ja-JP"/>
        </w:rPr>
        <w:t>℃</w:t>
      </w:r>
      <w:r>
        <w:rPr>
          <w:rFonts w:hint="eastAsia"/>
          <w:color w:val="auto"/>
        </w:rPr>
        <w:t>~1</w:t>
      </w:r>
      <w:r>
        <w:rPr>
          <w:color w:val="auto"/>
        </w:rPr>
        <w:t>300</w:t>
      </w:r>
      <w:r>
        <w:rPr>
          <w:rFonts w:hint="eastAsia" w:ascii="宋体" w:hAnsi="宋体" w:cs="宋体"/>
          <w:color w:val="auto"/>
          <w:lang w:eastAsia="ja-JP"/>
        </w:rPr>
        <w:t>℃</w:t>
      </w:r>
      <w:r>
        <w:rPr>
          <w:color w:val="auto"/>
        </w:rPr>
        <w:t>时，分别有</w:t>
      </w:r>
      <w:r>
        <w:rPr>
          <w:rFonts w:hint="eastAsia"/>
          <w:color w:val="auto"/>
        </w:rPr>
        <w:t>7</w:t>
      </w:r>
      <w:r>
        <w:rPr>
          <w:color w:val="auto"/>
        </w:rPr>
        <w:t>6%和85%的辐射能量集中在这一波段内，而一般的耐火材料在这一波段的发射率很低，对高温辐射不利，高温远红外辐射涂料可以弥补这一不足。由于被加热物体在不同加热温度下所辐射的频率不一样，因此，选用与被加热物体相匹配的远红外辐射频率加热，可大大提高其加热效率，并能保证加热质量。</w:t>
      </w:r>
    </w:p>
    <w:p>
      <w:pPr>
        <w:ind w:firstLine="560"/>
        <w:rPr>
          <w:color w:val="auto"/>
        </w:rPr>
      </w:pPr>
      <w:r>
        <w:rPr>
          <w:rFonts w:hint="eastAsia"/>
          <w:color w:val="auto"/>
        </w:rPr>
        <w:t>辐射涂料具有发射率高、导热系数小、气密性好、耐火度高、耐腐蚀、施工简便迅速等优点，可显著增强炉内的热传递效果，涂层耐热度很高，远红外线辐射涂料可</w:t>
      </w:r>
      <w:r>
        <w:rPr>
          <w:color w:val="auto"/>
        </w:rPr>
        <w:t>喷涂在玻璃</w:t>
      </w:r>
      <w:r>
        <w:rPr>
          <w:rFonts w:hint="eastAsia"/>
          <w:color w:val="auto"/>
        </w:rPr>
        <w:t>加热炉、</w:t>
      </w:r>
      <w:r>
        <w:rPr>
          <w:color w:val="auto"/>
        </w:rPr>
        <w:t>热弯炉</w:t>
      </w:r>
      <w:r>
        <w:rPr>
          <w:rFonts w:hint="eastAsia"/>
          <w:color w:val="auto"/>
        </w:rPr>
        <w:t>炉衬内高铝陶纤板上，一般厚度在</w:t>
      </w:r>
      <w:r>
        <w:rPr>
          <w:color w:val="auto"/>
        </w:rPr>
        <w:t>0.5~0.7mm</w:t>
      </w:r>
      <w:r>
        <w:rPr>
          <w:rFonts w:hint="eastAsia"/>
          <w:color w:val="auto"/>
        </w:rPr>
        <w:t>范围，可增加黑度到</w:t>
      </w:r>
      <w:r>
        <w:rPr>
          <w:color w:val="auto"/>
        </w:rPr>
        <w:t>0.93</w:t>
      </w:r>
      <w:r>
        <w:rPr>
          <w:rFonts w:hint="eastAsia"/>
          <w:color w:val="auto"/>
        </w:rPr>
        <w:t>，提高炉内衬壁黑度达到强化炉膛内的热交换效果，达到节能降耗的目的。</w:t>
      </w:r>
    </w:p>
    <w:p>
      <w:pPr>
        <w:pStyle w:val="5"/>
        <w:ind w:firstLine="560"/>
        <w:rPr>
          <w:color w:val="auto"/>
        </w:rPr>
      </w:pPr>
      <w:r>
        <w:rPr>
          <w:rFonts w:hint="eastAsia"/>
          <w:color w:val="auto"/>
        </w:rPr>
        <w:t>7.1.1.</w:t>
      </w:r>
      <w:r>
        <w:rPr>
          <w:color w:val="auto"/>
        </w:rPr>
        <w:t>2</w:t>
      </w:r>
      <w:r>
        <w:rPr>
          <w:rFonts w:hint="eastAsia"/>
          <w:color w:val="auto"/>
        </w:rPr>
        <w:t>食品</w:t>
      </w:r>
      <w:r>
        <w:rPr>
          <w:color w:val="auto"/>
        </w:rPr>
        <w:t>饮料行业</w:t>
      </w:r>
      <w:r>
        <w:rPr>
          <w:rFonts w:hint="eastAsia"/>
          <w:color w:val="auto"/>
        </w:rPr>
        <w:t>节能技术措施</w:t>
      </w:r>
    </w:p>
    <w:p>
      <w:pPr>
        <w:ind w:firstLine="560"/>
        <w:rPr>
          <w:color w:val="auto"/>
        </w:rPr>
      </w:pPr>
      <w:r>
        <w:rPr>
          <w:rFonts w:hint="eastAsia"/>
          <w:color w:val="auto"/>
        </w:rPr>
        <w:t>（1）提高水资源</w:t>
      </w:r>
      <w:r>
        <w:rPr>
          <w:color w:val="auto"/>
        </w:rPr>
        <w:t>利用率</w:t>
      </w:r>
    </w:p>
    <w:p>
      <w:pPr>
        <w:ind w:firstLine="560"/>
        <w:rPr>
          <w:color w:val="auto"/>
        </w:rPr>
      </w:pPr>
      <w:r>
        <w:rPr>
          <w:rFonts w:hint="eastAsia"/>
          <w:color w:val="auto"/>
        </w:rPr>
        <w:t>1）冷凝水回收再利用：建立蒸汽冷凝水回收网络。回收冷凝水可用作锅炉补水，也可用于其他用热设备加热，如温瓶、原水加热等，以节约能耗。</w:t>
      </w:r>
    </w:p>
    <w:p>
      <w:pPr>
        <w:ind w:firstLine="560"/>
        <w:rPr>
          <w:color w:val="auto"/>
        </w:rPr>
      </w:pPr>
      <w:r>
        <w:rPr>
          <w:rFonts w:hint="eastAsia"/>
          <w:color w:val="auto"/>
        </w:rPr>
        <w:t>2）选用高效环保的节水型冷却塔，在冷却循环系统中采用防腐、阻垢、微生物处理技术，采用旁滤器，减少补水量。也可将回收冲瓶水用于冷却塔补水、预洗瓶洗箱和清洁用水。超滤反洗水回收到原水箱重复使用。碳缸反冲洗水，通过化学处理后再利用。</w:t>
      </w:r>
    </w:p>
    <w:p>
      <w:pPr>
        <w:ind w:firstLine="560"/>
        <w:rPr>
          <w:color w:val="auto"/>
        </w:rPr>
      </w:pPr>
      <w:r>
        <w:rPr>
          <w:color w:val="auto"/>
        </w:rPr>
        <w:t>3</w:t>
      </w:r>
      <w:r>
        <w:rPr>
          <w:rFonts w:hint="eastAsia"/>
          <w:color w:val="auto"/>
        </w:rPr>
        <w:t>）</w:t>
      </w:r>
      <w:r>
        <w:rPr>
          <w:color w:val="auto"/>
        </w:rPr>
        <w:t xml:space="preserve">RO </w:t>
      </w:r>
      <w:r>
        <w:rPr>
          <w:rFonts w:hint="eastAsia"/>
          <w:color w:val="auto"/>
        </w:rPr>
        <w:t xml:space="preserve">浓水的利用：收集反渗透浓水，加阻垢剂，通过高压泵进行反渗透处理后，添加消毒剂进行混合，回至原水端作自来水使用，也可用于反冲洗砂缸、碳缸。排出浓水用于清洁、绿化等。选择适合的 </w:t>
      </w:r>
      <w:r>
        <w:rPr>
          <w:color w:val="auto"/>
        </w:rPr>
        <w:t xml:space="preserve">RO </w:t>
      </w:r>
      <w:r>
        <w:rPr>
          <w:rFonts w:hint="eastAsia"/>
          <w:color w:val="auto"/>
        </w:rPr>
        <w:t xml:space="preserve">膜，调整阻垢剂添加量，产水率可提供 </w:t>
      </w:r>
      <w:r>
        <w:rPr>
          <w:color w:val="auto"/>
        </w:rPr>
        <w:t>75%</w:t>
      </w:r>
      <w:r>
        <w:rPr>
          <w:rFonts w:hint="eastAsia"/>
          <w:color w:val="auto"/>
        </w:rPr>
        <w:t>以上。</w:t>
      </w:r>
    </w:p>
    <w:p>
      <w:pPr>
        <w:ind w:firstLine="560"/>
        <w:rPr>
          <w:color w:val="auto"/>
        </w:rPr>
      </w:pPr>
      <w:r>
        <w:rPr>
          <w:rFonts w:hint="eastAsia"/>
          <w:color w:val="auto"/>
        </w:rPr>
        <w:t>4）利用干润滑技术：生产线由干润滑代替湿润滑，无需对润滑剂稀释，可节约软水，保持车间清洁。</w:t>
      </w:r>
    </w:p>
    <w:p>
      <w:pPr>
        <w:ind w:firstLine="560"/>
        <w:rPr>
          <w:color w:val="auto"/>
        </w:rPr>
      </w:pPr>
      <w:r>
        <w:rPr>
          <w:rFonts w:hint="eastAsia"/>
          <w:color w:val="auto"/>
        </w:rPr>
        <w:t>（2）反渗透系统</w:t>
      </w:r>
      <w:r>
        <w:rPr>
          <w:color w:val="auto"/>
        </w:rPr>
        <w:t>能量回收</w:t>
      </w:r>
    </w:p>
    <w:p>
      <w:pPr>
        <w:ind w:firstLine="560"/>
        <w:rPr>
          <w:color w:val="auto"/>
        </w:rPr>
      </w:pPr>
      <w:r>
        <w:rPr>
          <w:rFonts w:hint="eastAsia"/>
          <w:color w:val="auto"/>
        </w:rPr>
        <w:t>饮料</w:t>
      </w:r>
      <w:r>
        <w:rPr>
          <w:color w:val="auto"/>
        </w:rPr>
        <w:t>行业常用到</w:t>
      </w:r>
      <w:r>
        <w:rPr>
          <w:rFonts w:hint="eastAsia"/>
          <w:color w:val="auto"/>
        </w:rPr>
        <w:t>反渗透产水</w:t>
      </w:r>
      <w:r>
        <w:rPr>
          <w:color w:val="auto"/>
        </w:rPr>
        <w:t>装置</w:t>
      </w:r>
      <w:r>
        <w:rPr>
          <w:rFonts w:hint="eastAsia"/>
          <w:color w:val="auto"/>
        </w:rPr>
        <w:t>，在反渗透系统</w:t>
      </w:r>
      <w:r>
        <w:rPr>
          <w:color w:val="auto"/>
        </w:rPr>
        <w:t>中</w:t>
      </w:r>
      <w:r>
        <w:rPr>
          <w:rFonts w:hint="eastAsia"/>
          <w:color w:val="auto"/>
        </w:rPr>
        <w:t>采用先进</w:t>
      </w:r>
      <w:r>
        <w:rPr>
          <w:color w:val="auto"/>
        </w:rPr>
        <w:t>的</w:t>
      </w:r>
      <w:r>
        <w:rPr>
          <w:rFonts w:hint="eastAsia"/>
          <w:color w:val="auto"/>
        </w:rPr>
        <w:t>能量回收装置可有效降低能耗，降低运行费用。反渗透装置高压浓水排放量可占进水流量的60％～70％，压力一般从</w:t>
      </w:r>
      <w:r>
        <w:rPr>
          <w:color w:val="auto"/>
        </w:rPr>
        <w:t>0.5~1.0</w:t>
      </w:r>
      <w:r>
        <w:rPr>
          <w:rFonts w:hint="eastAsia"/>
          <w:color w:val="auto"/>
        </w:rPr>
        <w:t>MPa降至常压，能量损失约70％。为降低淡化水的操作能耗，可在浓盐水排放管线上安装能量回收装置。用于回收高压浓盐水能量的设备有涡轮</w:t>
      </w:r>
      <w:r>
        <w:rPr>
          <w:rFonts w:hint="eastAsia" w:asciiTheme="minorEastAsia" w:hAnsiTheme="minorEastAsia" w:eastAsiaTheme="minorEastAsia"/>
          <w:color w:val="auto"/>
        </w:rPr>
        <w:t>机(包括冲击式水轮机)，各种旋转泵(离心泵和叶片泵)</w:t>
      </w:r>
      <w:r>
        <w:rPr>
          <w:rFonts w:hint="eastAsia"/>
          <w:color w:val="auto"/>
        </w:rPr>
        <w:t>，正λ移泵和流动装置。通常涡轮机和旋转泵仅限于大型海水淡化装置，小型装置多用其他回收装置。一般的能量回收装置可以回收浓盐水能量的60％~90％，大大降低了运行能耗</w:t>
      </w:r>
      <w:r>
        <w:rPr>
          <w:color w:val="auto"/>
        </w:rPr>
        <w:t>和</w:t>
      </w:r>
      <w:r>
        <w:rPr>
          <w:rFonts w:hint="eastAsia"/>
          <w:color w:val="auto"/>
        </w:rPr>
        <w:t>费用。</w:t>
      </w:r>
    </w:p>
    <w:p>
      <w:pPr>
        <w:pStyle w:val="5"/>
        <w:ind w:firstLine="560"/>
        <w:rPr>
          <w:color w:val="auto"/>
        </w:rPr>
      </w:pPr>
      <w:r>
        <w:rPr>
          <w:rFonts w:hint="eastAsia"/>
          <w:color w:val="auto"/>
        </w:rPr>
        <w:t>7.1.1.</w:t>
      </w:r>
      <w:r>
        <w:rPr>
          <w:color w:val="auto"/>
        </w:rPr>
        <w:t>3</w:t>
      </w:r>
      <w:r>
        <w:rPr>
          <w:rFonts w:hint="eastAsia"/>
          <w:color w:val="auto"/>
        </w:rPr>
        <w:t>先进</w:t>
      </w:r>
      <w:r>
        <w:rPr>
          <w:color w:val="auto"/>
        </w:rPr>
        <w:t>制造行业节能技术措施</w:t>
      </w:r>
    </w:p>
    <w:p>
      <w:pPr>
        <w:ind w:firstLine="560"/>
        <w:rPr>
          <w:color w:val="auto"/>
        </w:rPr>
      </w:pPr>
      <w:r>
        <w:rPr>
          <w:rFonts w:hint="eastAsia"/>
          <w:color w:val="auto"/>
        </w:rPr>
        <w:t>（1）焊接节能技术措施</w:t>
      </w:r>
    </w:p>
    <w:p>
      <w:pPr>
        <w:pStyle w:val="50"/>
        <w:numPr>
          <w:ilvl w:val="1"/>
          <w:numId w:val="8"/>
        </w:numPr>
        <w:ind w:left="0" w:firstLine="560"/>
        <w:rPr>
          <w:color w:val="auto"/>
        </w:rPr>
      </w:pPr>
      <w:r>
        <w:rPr>
          <w:rFonts w:hint="eastAsia"/>
          <w:color w:val="auto"/>
        </w:rPr>
        <w:t>根据材料的材质不同及厚度不同采用不同的焊接工艺，根据实际情况选用气体保护焊、电子束焊、自动埋弧焊、电阻缝焊或激光焊等工艺。其中，薄板及中、小型结构件的电弧焊接宜采用气体保护焊；大批量生产时，密封薄板的钢制件的焊接宜采用。</w:t>
      </w:r>
    </w:p>
    <w:p>
      <w:pPr>
        <w:pStyle w:val="50"/>
        <w:numPr>
          <w:ilvl w:val="1"/>
          <w:numId w:val="8"/>
        </w:numPr>
        <w:ind w:left="0" w:firstLine="560"/>
        <w:rPr>
          <w:color w:val="auto"/>
        </w:rPr>
      </w:pPr>
      <w:r>
        <w:rPr>
          <w:rFonts w:hint="eastAsia"/>
          <w:color w:val="auto"/>
        </w:rPr>
        <w:t>批量生产的管材、棒材的对接采用适宜的焊接工艺：管材的对接宜采用摩擦焊、熔化极置弧焊或鸽极氢弧焊；棒材的对接宜采用摩擦焊、脉冲闪光焊或磁控旋弧焊。</w:t>
      </w:r>
    </w:p>
    <w:p>
      <w:pPr>
        <w:pStyle w:val="50"/>
        <w:numPr>
          <w:ilvl w:val="1"/>
          <w:numId w:val="8"/>
        </w:numPr>
        <w:ind w:left="0" w:firstLine="560"/>
        <w:rPr>
          <w:color w:val="auto"/>
        </w:rPr>
      </w:pPr>
      <w:r>
        <w:rPr>
          <w:rFonts w:hint="eastAsia"/>
          <w:color w:val="auto"/>
        </w:rPr>
        <w:t>点焊工艺，大批量生产时，宜采用凸焊工艺；低碳铜板的点焊应采用硬规范工艺。</w:t>
      </w:r>
    </w:p>
    <w:p>
      <w:pPr>
        <w:pStyle w:val="50"/>
        <w:numPr>
          <w:ilvl w:val="1"/>
          <w:numId w:val="8"/>
        </w:numPr>
        <w:ind w:left="0" w:firstLine="560"/>
        <w:rPr>
          <w:color w:val="auto"/>
        </w:rPr>
      </w:pPr>
      <w:r>
        <w:rPr>
          <w:rFonts w:hint="eastAsia"/>
          <w:color w:val="auto"/>
        </w:rPr>
        <w:t>采用先进适宜的下料或坡口加工：采用计算机辅助套料，并根据不同材料、不同厚度选择数控切割、数控等离子切割、激光切割、水力切割、剪切设备或镜削等下料工艺。</w:t>
      </w:r>
    </w:p>
    <w:p>
      <w:pPr>
        <w:pStyle w:val="50"/>
        <w:numPr>
          <w:ilvl w:val="1"/>
          <w:numId w:val="8"/>
        </w:numPr>
        <w:ind w:left="0" w:firstLine="560"/>
        <w:rPr>
          <w:color w:val="auto"/>
        </w:rPr>
      </w:pPr>
      <w:r>
        <w:rPr>
          <w:rFonts w:hint="eastAsia"/>
          <w:color w:val="auto"/>
        </w:rPr>
        <w:t>焊条及焊剂的烘干采用远红外烘干设备。焊接件的预热采用电为热源时，宜采用远红外加热装置。</w:t>
      </w:r>
    </w:p>
    <w:p>
      <w:pPr>
        <w:pStyle w:val="50"/>
        <w:numPr>
          <w:ilvl w:val="1"/>
          <w:numId w:val="8"/>
        </w:numPr>
        <w:ind w:left="0" w:firstLine="560"/>
        <w:rPr>
          <w:color w:val="auto"/>
        </w:rPr>
      </w:pPr>
      <w:r>
        <w:rPr>
          <w:rFonts w:hint="eastAsia"/>
          <w:color w:val="auto"/>
        </w:rPr>
        <w:t>焊接件的焊接宜采用焊接夹具及焊接变位机、滚轮架及焊接操作机等机械化装置；批量生产时，宜采用焊接机器人或焊接专机。</w:t>
      </w:r>
    </w:p>
    <w:p>
      <w:pPr>
        <w:pStyle w:val="50"/>
        <w:numPr>
          <w:ilvl w:val="1"/>
          <w:numId w:val="8"/>
        </w:numPr>
        <w:ind w:left="0" w:firstLine="560"/>
        <w:rPr>
          <w:color w:val="auto"/>
        </w:rPr>
      </w:pPr>
      <w:r>
        <w:rPr>
          <w:rFonts w:hint="eastAsia"/>
          <w:color w:val="auto"/>
        </w:rPr>
        <w:t>手工电弧焊电源设备宜采用逆变式电源；当采用直流电源时，宜选用整流电源。</w:t>
      </w:r>
    </w:p>
    <w:p>
      <w:pPr>
        <w:pStyle w:val="50"/>
        <w:numPr>
          <w:ilvl w:val="1"/>
          <w:numId w:val="8"/>
        </w:numPr>
        <w:ind w:left="0" w:firstLine="560"/>
        <w:rPr>
          <w:color w:val="auto"/>
        </w:rPr>
      </w:pPr>
      <w:r>
        <w:rPr>
          <w:rFonts w:hint="eastAsia"/>
          <w:color w:val="auto"/>
        </w:rPr>
        <w:t>点焊设备的选用：大批量生产时，宜采用焊接机械手或焊接机器人；产品品种单一时，宜采用多点焊机；宜采用三相中频点焊机、次级整流式点焊机或绝缘栅双极晶体管式（IGBT）逆变焊机；配置悬挂式点焊机时，宜采用焊枪与变压器一体式焊机。</w:t>
      </w:r>
    </w:p>
    <w:p>
      <w:pPr>
        <w:pStyle w:val="50"/>
        <w:numPr>
          <w:ilvl w:val="1"/>
          <w:numId w:val="8"/>
        </w:numPr>
        <w:ind w:left="0" w:firstLine="560"/>
        <w:rPr>
          <w:color w:val="auto"/>
        </w:rPr>
      </w:pPr>
      <w:r>
        <w:rPr>
          <w:rFonts w:hint="eastAsia"/>
          <w:color w:val="auto"/>
        </w:rPr>
        <w:t>焊接件焊前除锈清理工艺：单件、小批量生产宜采用电动钢丝刷或砂页轮除锈；大批量生产宜采用抛丸或砂页轮预处理生产线。</w:t>
      </w:r>
    </w:p>
    <w:p>
      <w:pPr>
        <w:ind w:firstLine="560"/>
        <w:rPr>
          <w:color w:val="auto"/>
        </w:rPr>
      </w:pPr>
      <w:r>
        <w:rPr>
          <w:rFonts w:hint="eastAsia"/>
          <w:color w:val="auto"/>
        </w:rPr>
        <w:t>（2）涂装节能技术措施</w:t>
      </w:r>
    </w:p>
    <w:p>
      <w:pPr>
        <w:ind w:firstLine="560"/>
        <w:rPr>
          <w:color w:val="auto"/>
        </w:rPr>
      </w:pPr>
      <w:r>
        <w:rPr>
          <w:rFonts w:hint="eastAsia"/>
          <w:color w:val="auto"/>
        </w:rPr>
        <w:t>1）应用涂料循环技术。如超滤法、冷却法和静电吸附法回收水性漆技术、过喷漆雾的水性漆回收技术及粉末浆再循环利用技术，可使涂装线的涂料利用率得到很大提高。</w:t>
      </w:r>
    </w:p>
    <w:p>
      <w:pPr>
        <w:ind w:firstLine="560"/>
        <w:rPr>
          <w:color w:val="auto"/>
        </w:rPr>
      </w:pPr>
      <w:r>
        <w:rPr>
          <w:rFonts w:hint="eastAsia"/>
          <w:color w:val="auto"/>
        </w:rPr>
        <w:t>2）设置干式喷漆室。干式喷漆指捕捉过喷漆雾不采用水洗的方式，而采用折流板、滤网、滤棉等过滤漆雾。由于干式喷漆室无水，在循环风式喷漆室中无需对空气进行除湿调温，有效降低了动能成本。</w:t>
      </w:r>
    </w:p>
    <w:p>
      <w:pPr>
        <w:ind w:firstLine="560"/>
        <w:rPr>
          <w:color w:val="auto"/>
        </w:rPr>
      </w:pPr>
      <w:r>
        <w:rPr>
          <w:rFonts w:hint="eastAsia"/>
          <w:color w:val="auto"/>
        </w:rPr>
        <w:t>3）烘干采用辐射加对流形式或采用循环对流加热方式。辐射加对流形式即烘干炉前端为辐射加热区，后端为对流加热区，可加快工件升温速度，缩短工件升温时间，在节能的同时可防止灰尘沾附在湿涂层上，提高涂层外观质量。</w:t>
      </w:r>
    </w:p>
    <w:p>
      <w:pPr>
        <w:ind w:firstLine="560"/>
        <w:rPr>
          <w:color w:val="auto"/>
        </w:rPr>
      </w:pPr>
      <w:r>
        <w:rPr>
          <w:rFonts w:hint="eastAsia"/>
          <w:color w:val="auto"/>
        </w:rPr>
        <w:t>4）对涂装废气进行余热回收。对烘干炉产生的废气进行处理，燃烧产生的热量进行回收，一般采用两种方式：①废气焚烧热烈回收装置；②蓄热式热力焚化装置。</w:t>
      </w:r>
    </w:p>
    <w:p>
      <w:pPr>
        <w:ind w:firstLine="560"/>
        <w:rPr>
          <w:color w:val="auto"/>
        </w:rPr>
      </w:pPr>
      <w:r>
        <w:rPr>
          <w:rFonts w:hint="eastAsia"/>
          <w:color w:val="auto"/>
        </w:rPr>
        <w:t>（3）注塑节能技术措施</w:t>
      </w:r>
    </w:p>
    <w:p>
      <w:pPr>
        <w:ind w:firstLine="560"/>
        <w:rPr>
          <w:color w:val="auto"/>
        </w:rPr>
      </w:pPr>
      <w:r>
        <w:rPr>
          <w:rFonts w:hint="eastAsia"/>
          <w:color w:val="auto"/>
        </w:rPr>
        <w:t>1）采用低能耗注塑机：如采用变量泵、变频电机、纯电动注塑机等。</w:t>
      </w:r>
    </w:p>
    <w:p>
      <w:pPr>
        <w:ind w:firstLine="560"/>
        <w:rPr>
          <w:color w:val="auto"/>
        </w:rPr>
      </w:pPr>
      <w:r>
        <w:rPr>
          <w:rFonts w:hint="eastAsia"/>
          <w:color w:val="auto"/>
        </w:rPr>
        <w:t>2）采用优良设计、新技术的模具：模具的加热或冷却时间，直接影响着生产效率及能耗，例如采用感应加热、变流量冷却水，以及使用节能冷却水道设计，都具有明显</w:t>
      </w:r>
      <w:r>
        <w:rPr>
          <w:color w:val="auto"/>
        </w:rPr>
        <w:t>的节能</w:t>
      </w:r>
      <w:r>
        <w:rPr>
          <w:rFonts w:hint="eastAsia"/>
          <w:color w:val="auto"/>
        </w:rPr>
        <w:t>效果。</w:t>
      </w:r>
    </w:p>
    <w:p>
      <w:pPr>
        <w:ind w:firstLine="560"/>
        <w:rPr>
          <w:color w:val="auto"/>
        </w:rPr>
      </w:pPr>
      <w:r>
        <w:rPr>
          <w:rFonts w:hint="eastAsia"/>
          <w:color w:val="auto"/>
        </w:rPr>
        <w:t>3）注塑机伺服节能改造：目前国内注塑机大多数都是定量泵型注塑机，注塑机的</w:t>
      </w:r>
      <w:bookmarkStart w:id="84" w:name="_GoBack"/>
      <w:bookmarkEnd w:id="84"/>
      <w:r>
        <w:rPr>
          <w:rFonts w:hint="eastAsia"/>
          <w:color w:val="auto"/>
        </w:rPr>
        <w:t>生产周期原理是：合模—注射—保压—回料—冷却—开模—顶出。加装伺服节能设备后，控制器通过自动检测生产过程中的所有阶段的压力和速度设定，计算出对应的比例控制信号输出给变频器，变频器根据受到的控制信号后，动态调整点击转速以保证油泵输出的液压油尽可能少地产生无功回流，以达到节能目的。</w:t>
      </w:r>
    </w:p>
    <w:p>
      <w:pPr>
        <w:ind w:firstLine="560"/>
        <w:rPr>
          <w:color w:val="auto"/>
        </w:rPr>
      </w:pPr>
      <w:r>
        <w:rPr>
          <w:rFonts w:hint="eastAsia"/>
          <w:color w:val="auto"/>
        </w:rPr>
        <w:t>4）新型加热方式：注塑机的加热方式普遍为电热圈发热，通过接触传导方式把热量传到炮筒上，只有紧靠在炮筒表面内侧的热量传到炮筒上，外侧的热量大部分散失到空气中，存在热传导损失，而且散失的热量会导致注塑机工作环境温度上升。电磁加热技术是使金属炮筒自身发热，并且可以根据具体情况在炮筒外部包裹一定的隔热保温材料，能有效地减少了热量的散失，提高热效率，系统节能率可达10%到35%。</w:t>
      </w:r>
    </w:p>
    <w:p>
      <w:pPr>
        <w:ind w:firstLine="560"/>
        <w:rPr>
          <w:color w:val="auto"/>
        </w:rPr>
      </w:pPr>
      <w:r>
        <w:rPr>
          <w:rFonts w:hint="eastAsia"/>
          <w:color w:val="auto"/>
        </w:rPr>
        <w:t>5）热量回收再利用：注塑机在工作过程中，发热圈在给炮筒加热的同时，仍有一部分热量直接散发到空气中。注塑机安装余热回收设备，运用热能的闭环控制理念，通过热能采集技术，对注塑机炮筒的热能收集，然后将热能收集供烘料再利用，将被浪费的热量采集起来，循环利用，从而达到既注塑机伺服节能又改善环境的双重效果。</w:t>
      </w:r>
    </w:p>
    <w:p>
      <w:pPr>
        <w:ind w:firstLine="560"/>
        <w:rPr>
          <w:color w:val="auto"/>
        </w:rPr>
      </w:pPr>
      <w:r>
        <w:rPr>
          <w:rFonts w:hint="eastAsia"/>
          <w:color w:val="auto"/>
        </w:rPr>
        <w:t>（4）机加工节能技术措施</w:t>
      </w:r>
    </w:p>
    <w:p>
      <w:pPr>
        <w:pStyle w:val="50"/>
        <w:numPr>
          <w:ilvl w:val="0"/>
          <w:numId w:val="9"/>
        </w:numPr>
        <w:ind w:left="0" w:firstLine="560"/>
        <w:rPr>
          <w:rFonts w:eastAsiaTheme="minorEastAsia"/>
          <w:color w:val="auto"/>
        </w:rPr>
      </w:pPr>
      <w:r>
        <w:rPr>
          <w:rFonts w:eastAsiaTheme="minorEastAsia"/>
          <w:color w:val="auto"/>
        </w:rPr>
        <w:t>推广复合机床加工技术，采用多主轴、多刀架、机械上下料、自动砂轮修磨装置等，提高生产效率和能源利用率。</w:t>
      </w:r>
    </w:p>
    <w:p>
      <w:pPr>
        <w:pStyle w:val="50"/>
        <w:numPr>
          <w:ilvl w:val="0"/>
          <w:numId w:val="9"/>
        </w:numPr>
        <w:ind w:left="0" w:firstLine="560"/>
        <w:rPr>
          <w:rFonts w:eastAsiaTheme="minorEastAsia"/>
          <w:color w:val="auto"/>
        </w:rPr>
      </w:pPr>
      <w:r>
        <w:rPr>
          <w:rFonts w:eastAsiaTheme="minorEastAsia"/>
          <w:color w:val="auto"/>
        </w:rPr>
        <w:t>采用先进的专用机床、组合机床、自动线、加工中心等机械加工设备，减少设备的数量、辅助设施和场地面积。采用专用工装夹具，能减少划线、装夹等辅助时间，提高设备的利用率，减少工装系数，降低能耗。</w:t>
      </w:r>
    </w:p>
    <w:p>
      <w:pPr>
        <w:pStyle w:val="50"/>
        <w:numPr>
          <w:ilvl w:val="0"/>
          <w:numId w:val="9"/>
        </w:numPr>
        <w:ind w:left="0" w:firstLine="560"/>
        <w:rPr>
          <w:rFonts w:eastAsiaTheme="minorEastAsia"/>
          <w:color w:val="auto"/>
        </w:rPr>
      </w:pPr>
      <w:r>
        <w:rPr>
          <w:rFonts w:eastAsiaTheme="minorEastAsia"/>
          <w:color w:val="auto"/>
        </w:rPr>
        <w:t>采用一机多能的加工中心，将零件机械加工的某些工序或大部分工序集中到加工中心上一次装夹加工完成，减少零件的装卸次数和搬运工作量，从而减少设备数量和装卸运输的能耗。</w:t>
      </w:r>
    </w:p>
    <w:p>
      <w:pPr>
        <w:pStyle w:val="50"/>
        <w:numPr>
          <w:ilvl w:val="0"/>
          <w:numId w:val="9"/>
        </w:numPr>
        <w:ind w:left="0" w:firstLine="560"/>
        <w:rPr>
          <w:rFonts w:eastAsiaTheme="minorEastAsia"/>
          <w:color w:val="auto"/>
        </w:rPr>
      </w:pPr>
      <w:r>
        <w:rPr>
          <w:rFonts w:eastAsiaTheme="minorEastAsia"/>
          <w:color w:val="auto"/>
        </w:rPr>
        <w:t>推广使用自动上下料系统，能提高20%以上的机床利用率，节约材料及减少机床工作时间，利于实现一人多机操作。</w:t>
      </w:r>
    </w:p>
    <w:p>
      <w:pPr>
        <w:pStyle w:val="50"/>
        <w:numPr>
          <w:ilvl w:val="0"/>
          <w:numId w:val="9"/>
        </w:numPr>
        <w:ind w:left="0" w:firstLine="560"/>
        <w:rPr>
          <w:rFonts w:eastAsiaTheme="minorEastAsia"/>
          <w:color w:val="auto"/>
        </w:rPr>
      </w:pPr>
      <w:r>
        <w:rPr>
          <w:rFonts w:eastAsiaTheme="minorEastAsia"/>
          <w:color w:val="auto"/>
        </w:rPr>
        <w:t>异形板状零件毛坯的下料采用激光切割、等离子切割或高压水力切割下料，不仅工效高又能实现自动化加工，而且毛坯精度高，节约原材料。</w:t>
      </w:r>
    </w:p>
    <w:p>
      <w:pPr>
        <w:pStyle w:val="50"/>
        <w:numPr>
          <w:ilvl w:val="0"/>
          <w:numId w:val="9"/>
        </w:numPr>
        <w:ind w:left="0" w:firstLine="560"/>
        <w:rPr>
          <w:rFonts w:eastAsiaTheme="minorEastAsia"/>
          <w:color w:val="auto"/>
        </w:rPr>
      </w:pPr>
      <w:r>
        <w:rPr>
          <w:rFonts w:eastAsiaTheme="minorEastAsia"/>
          <w:color w:val="auto"/>
        </w:rPr>
        <w:t>采用不重磨刀具、硬质合金刀具等先进的切削刀具，与普通刀具相比较，可以减少换刀、机床停机或启动次数，从而减少机床停机和启动能耗。</w:t>
      </w:r>
    </w:p>
    <w:p>
      <w:pPr>
        <w:pStyle w:val="50"/>
        <w:numPr>
          <w:ilvl w:val="0"/>
          <w:numId w:val="9"/>
        </w:numPr>
        <w:ind w:left="0" w:firstLine="560"/>
        <w:rPr>
          <w:rFonts w:eastAsiaTheme="minorEastAsia"/>
          <w:color w:val="auto"/>
        </w:rPr>
      </w:pPr>
      <w:r>
        <w:rPr>
          <w:rFonts w:eastAsiaTheme="minorEastAsia"/>
          <w:color w:val="auto"/>
        </w:rPr>
        <w:t>采用数字化、集成化、智能化、激光等先进的测量装置，与采用于工测量比较，前厅可以减少人为因素影响和停机次数，检测效率大大提高，因而减少机床的停机启功能起及机床空载（如磨削加工，当于工测量时，磨头仍需空转）能耗，且可提高检测数据的精确性。</w:t>
      </w:r>
    </w:p>
    <w:p>
      <w:pPr>
        <w:pStyle w:val="50"/>
        <w:numPr>
          <w:ilvl w:val="0"/>
          <w:numId w:val="9"/>
        </w:numPr>
        <w:ind w:left="0" w:firstLine="560"/>
        <w:rPr>
          <w:rFonts w:eastAsiaTheme="minorEastAsia"/>
          <w:color w:val="auto"/>
        </w:rPr>
      </w:pPr>
      <w:r>
        <w:rPr>
          <w:rFonts w:eastAsiaTheme="minorEastAsia"/>
          <w:color w:val="auto"/>
        </w:rPr>
        <w:t>采用各种超硬、耐高温刀具和硬质合金涂层刀具等切削轻合金材料时，在高速、高温的情况下不用切削液，切削效率更高。加工不能用纯粹干切削的材料加工时，可采用高速喷射雾化的微量润滑液到切削区，被体气化吸收大量的热量，工件仍然保持表面干燥切削，可节约大量冷却班，并且不产生废切削液，实现绿色切削。</w:t>
      </w:r>
    </w:p>
    <w:p>
      <w:pPr>
        <w:pStyle w:val="50"/>
        <w:numPr>
          <w:ilvl w:val="0"/>
          <w:numId w:val="9"/>
        </w:numPr>
        <w:ind w:left="0" w:firstLine="560"/>
        <w:rPr>
          <w:rFonts w:eastAsiaTheme="minorEastAsia"/>
          <w:color w:val="auto"/>
        </w:rPr>
      </w:pPr>
      <w:r>
        <w:rPr>
          <w:rFonts w:eastAsiaTheme="minorEastAsia"/>
          <w:color w:val="auto"/>
        </w:rPr>
        <w:t>采用冷却液集中处理系统，净化后的净液再集中供各设备使用，生产效率可提高5%～30%，废品率可降低6%~8%。</w:t>
      </w:r>
    </w:p>
    <w:p>
      <w:pPr>
        <w:pStyle w:val="50"/>
        <w:numPr>
          <w:ilvl w:val="0"/>
          <w:numId w:val="9"/>
        </w:numPr>
        <w:ind w:left="0" w:firstLine="560"/>
        <w:rPr>
          <w:rFonts w:eastAsiaTheme="minorEastAsia"/>
          <w:color w:val="auto"/>
        </w:rPr>
      </w:pPr>
      <w:r>
        <w:rPr>
          <w:rFonts w:eastAsiaTheme="minorEastAsia"/>
          <w:color w:val="auto"/>
        </w:rPr>
        <w:t>采用</w:t>
      </w:r>
      <w:r>
        <w:rPr>
          <w:rFonts w:asciiTheme="minorEastAsia" w:hAnsiTheme="minorEastAsia" w:eastAsiaTheme="minorEastAsia"/>
          <w:color w:val="auto"/>
        </w:rPr>
        <w:t>“烫焊锡铝合金”</w:t>
      </w:r>
      <w:r>
        <w:rPr>
          <w:rFonts w:eastAsiaTheme="minorEastAsia"/>
          <w:color w:val="auto"/>
        </w:rPr>
        <w:t>、热喷法、涂刷新材料等工艺，可减少刨削和磨削的工作量，从而减少机床的采用数量，减少切削能耗。</w:t>
      </w:r>
    </w:p>
    <w:p>
      <w:pPr>
        <w:pStyle w:val="50"/>
        <w:numPr>
          <w:ilvl w:val="0"/>
          <w:numId w:val="9"/>
        </w:numPr>
        <w:ind w:left="0" w:firstLine="560"/>
        <w:rPr>
          <w:rFonts w:eastAsiaTheme="minorEastAsia"/>
          <w:color w:val="auto"/>
        </w:rPr>
      </w:pPr>
      <w:r>
        <w:rPr>
          <w:rFonts w:eastAsiaTheme="minorEastAsia"/>
          <w:color w:val="auto"/>
        </w:rPr>
        <w:t>采用远红外加热代替电阻加热，节能效果显著。</w:t>
      </w:r>
    </w:p>
    <w:p>
      <w:pPr>
        <w:pStyle w:val="5"/>
        <w:ind w:firstLine="560"/>
        <w:rPr>
          <w:color w:val="auto"/>
        </w:rPr>
      </w:pPr>
      <w:r>
        <w:rPr>
          <w:rFonts w:hint="eastAsia"/>
          <w:color w:val="auto"/>
        </w:rPr>
        <w:t>7</w:t>
      </w:r>
      <w:r>
        <w:rPr>
          <w:color w:val="auto"/>
        </w:rPr>
        <w:t>.1.1.4</w:t>
      </w:r>
      <w:r>
        <w:rPr>
          <w:rFonts w:hint="eastAsia"/>
          <w:color w:val="auto"/>
        </w:rPr>
        <w:t>医药化工</w:t>
      </w:r>
      <w:r>
        <w:rPr>
          <w:color w:val="auto"/>
        </w:rPr>
        <w:t>行业</w:t>
      </w:r>
      <w:r>
        <w:rPr>
          <w:rFonts w:hint="eastAsia"/>
          <w:color w:val="auto"/>
        </w:rPr>
        <w:t>节能</w:t>
      </w:r>
      <w:r>
        <w:rPr>
          <w:color w:val="auto"/>
        </w:rPr>
        <w:t>技术措施</w:t>
      </w:r>
      <w:r>
        <w:rPr>
          <w:rFonts w:hint="eastAsia"/>
          <w:color w:val="auto"/>
        </w:rPr>
        <w:t>。</w:t>
      </w:r>
    </w:p>
    <w:p>
      <w:pPr>
        <w:ind w:firstLine="560"/>
        <w:rPr>
          <w:color w:val="auto"/>
        </w:rPr>
      </w:pPr>
      <w:r>
        <w:rPr>
          <w:rFonts w:hint="eastAsia"/>
          <w:color w:val="auto"/>
        </w:rPr>
        <w:t>（1）螺杆真空泵代替传统泵类</w:t>
      </w:r>
    </w:p>
    <w:p>
      <w:pPr>
        <w:ind w:firstLine="560"/>
        <w:rPr>
          <w:color w:val="auto"/>
        </w:rPr>
      </w:pPr>
      <w:r>
        <w:rPr>
          <w:rFonts w:hint="eastAsia"/>
          <w:color w:val="auto"/>
        </w:rPr>
        <w:t>螺杆真空泵是往复泵、水环泵、油封式滑阀真空泵、旋片真空泵、及罗茨机组的更新换代产品，应用于医药、</w:t>
      </w:r>
      <w:r>
        <w:rPr>
          <w:color w:val="auto"/>
        </w:rPr>
        <w:t>涂料</w:t>
      </w:r>
      <w:r>
        <w:rPr>
          <w:rFonts w:hint="eastAsia"/>
          <w:color w:val="auto"/>
        </w:rPr>
        <w:t>等行业的真空输送提料、提炼、蒸馏、浓缩、真空包装、干燥、气体解析、尾气回收等场合，是取代传统泵的理想产品。</w:t>
      </w:r>
    </w:p>
    <w:p>
      <w:pPr>
        <w:ind w:firstLine="560"/>
        <w:rPr>
          <w:color w:val="auto"/>
        </w:rPr>
      </w:pPr>
      <w:r>
        <w:rPr>
          <w:rFonts w:hint="eastAsia"/>
          <w:color w:val="auto"/>
        </w:rPr>
        <w:t>螺杆泵是由一对平行的螺旋状转子与泵体组成的一个工作室，转子与泵体之间没有磨擦且保持一定的间隙，两个转子与泵体之间形成了密封腔，转子在泵壳中作同步高速反向旋转而产生的吸气和排气作用的抽气设备。两螺杆经精细动平衡校正，由轴承支撑，安装在泵壳中，螺杆与螺杆之间都有一定的间隙，泵工作时相互之间无磨擦， 运转平稳，噪音低，工作腔无需润滑油，因此螺杆泵适合抽除含有大量可凝性气体或少量粉尘的气体场合。</w:t>
      </w:r>
    </w:p>
    <w:p>
      <w:pPr>
        <w:ind w:firstLine="560"/>
        <w:rPr>
          <w:color w:val="auto"/>
        </w:rPr>
      </w:pPr>
      <w:r>
        <w:rPr>
          <w:rFonts w:hint="eastAsia"/>
          <w:color w:val="auto"/>
        </w:rPr>
        <w:t>螺杆泵的优点：①工作腔内无润滑油，为干式真空泵，有利于介质回收，可获得清洁真空，工作过程中无废油、废水排放， 对环境无污染，是环保真空设备。②真空度高，单泵极限压力LG型≤1Pa，LGH型≤10Pa，高真空区抽气量大，工作效率高，功耗低。③螺杆泵泵腔设计有自动吸气吹扫装置，可防泵腔内的少量粉尘沉积，可用于抽除含少量粉尘的气体。④螺杆泵轴封设计有气封+迷宫密封装置，有效防止齿轮腔润滑油与泵腔介质互相渗透污染，做到真正的干式真空，延长泵轴承齿轮等主要部件的使用寿命。⑤螺杆泵转子间隙相对较大，泵腔及转子表面有镀镍层或PTFE涂层可供选择，可抽除大量水蒸气及多种腐蚀性介质，适用于化工、制药等工作环境较为恶劣的工作场合，是立式往复泵与水环泵更新替换产品。⑥转子作G1精细动平衡试验，运转平稳振动小。</w:t>
      </w:r>
    </w:p>
    <w:p>
      <w:pPr>
        <w:ind w:firstLine="560"/>
        <w:rPr>
          <w:color w:val="auto"/>
        </w:rPr>
      </w:pPr>
      <w:r>
        <w:rPr>
          <w:rFonts w:hint="eastAsia"/>
          <w:color w:val="auto"/>
        </w:rPr>
        <w:t>（2）螺旋缠绕高效节能换热器</w:t>
      </w:r>
    </w:p>
    <w:p>
      <w:pPr>
        <w:ind w:firstLine="560"/>
        <w:rPr>
          <w:color w:val="auto"/>
        </w:rPr>
      </w:pPr>
      <w:r>
        <w:rPr>
          <w:rFonts w:hint="eastAsia"/>
          <w:color w:val="auto"/>
        </w:rPr>
        <w:t>涂料、</w:t>
      </w:r>
      <w:r>
        <w:rPr>
          <w:color w:val="auto"/>
        </w:rPr>
        <w:t>制药</w:t>
      </w:r>
      <w:r>
        <w:rPr>
          <w:rFonts w:hint="eastAsia"/>
          <w:color w:val="auto"/>
        </w:rPr>
        <w:t>等行业由于溶剂回收、废气处理的要求，安装有较多冷凝器。螺旋缠绕高效节能换热器是近年来推出的一种新型高效节能的换热设备，在设计上完全突破了传统管壳式换热器的设计思路，从材料选择到结构形式、外形体积等方面与传统换热器相比均有大幅度变化，改变了传统换热器结构简单、体积庞大、外形粗糙、效率低下的特点，是传统换热器的更新换代产品。</w:t>
      </w:r>
    </w:p>
    <w:p>
      <w:pPr>
        <w:ind w:firstLine="560"/>
        <w:rPr>
          <w:color w:val="auto"/>
        </w:rPr>
      </w:pPr>
      <w:r>
        <w:rPr>
          <w:rFonts w:hint="eastAsia"/>
          <w:color w:val="auto"/>
        </w:rPr>
        <w:t>螺旋缠绕高效节能换热器由于其特殊结构，其换热能力是传统国产换热器的五倍左右，因此能把原来的二级冷凝变为一级冷凝，可以利用循环水代替原来的冷冻盐水，为企业节约制备冷冻盐水的各项费用，且换热充分，能有效提高溶媒回收率，缩短生产工艺流程周期，降低</w:t>
      </w:r>
      <w:r>
        <w:rPr>
          <w:color w:val="auto"/>
        </w:rPr>
        <w:t>生产能耗</w:t>
      </w:r>
      <w:r>
        <w:rPr>
          <w:rFonts w:hint="eastAsia"/>
          <w:color w:val="auto"/>
        </w:rPr>
        <w:t>。</w:t>
      </w:r>
    </w:p>
    <w:p>
      <w:pPr>
        <w:ind w:firstLine="560"/>
        <w:rPr>
          <w:color w:val="auto"/>
        </w:rPr>
      </w:pPr>
      <w:r>
        <w:rPr>
          <w:rFonts w:hint="eastAsia"/>
          <w:color w:val="auto"/>
        </w:rPr>
        <w:t>螺旋缠绕高效节能换热器结垢系数低、</w:t>
      </w:r>
      <w:r>
        <w:rPr>
          <w:color w:val="auto"/>
        </w:rPr>
        <w:t>换热效率高</w:t>
      </w:r>
      <w:r>
        <w:rPr>
          <w:rFonts w:hint="eastAsia"/>
          <w:color w:val="auto"/>
        </w:rPr>
        <w:t>，其独特的螺旋螺纹管长度是壳体的4～6倍，有效地减小了温度梯度，也</w:t>
      </w:r>
      <w:r>
        <w:rPr>
          <w:color w:val="auto"/>
        </w:rPr>
        <w:t>减少了</w:t>
      </w:r>
      <w:r>
        <w:rPr>
          <w:rFonts w:hint="eastAsia"/>
          <w:color w:val="auto"/>
        </w:rPr>
        <w:t>结垢因素；采用全焊接，可以使换热器全部参与换热，也使流体自动冲刷管路，降低结垢倾向；换热管的表面光洁度，降低污垢系数；采用螺旋缠绕结构，极大地改变流体的流动状态，形成了强烈的湍流效果；提高流速为5.5 m/s</w:t>
      </w:r>
      <w:r>
        <w:rPr>
          <w:rFonts w:hint="eastAsia" w:asciiTheme="minorEastAsia" w:hAnsiTheme="minorEastAsia" w:eastAsiaTheme="minorEastAsia"/>
          <w:color w:val="auto"/>
        </w:rPr>
        <w:t>(</w:t>
      </w:r>
      <w:r>
        <w:rPr>
          <w:rFonts w:hint="eastAsia"/>
          <w:color w:val="auto"/>
        </w:rPr>
        <w:t>传统设计为1.2m/s</w:t>
      </w:r>
      <w:r>
        <w:rPr>
          <w:rFonts w:hint="eastAsia" w:asciiTheme="minorEastAsia" w:hAnsiTheme="minorEastAsia" w:eastAsiaTheme="minorEastAsia"/>
          <w:color w:val="auto"/>
        </w:rPr>
        <w:t>)</w:t>
      </w:r>
      <w:r>
        <w:rPr>
          <w:rFonts w:hint="eastAsia"/>
          <w:color w:val="auto"/>
        </w:rPr>
        <w:t>，起到不易结垢并且可以冲刷污垢作用。</w:t>
      </w:r>
    </w:p>
    <w:p>
      <w:pPr>
        <w:ind w:firstLine="560"/>
        <w:rPr>
          <w:color w:val="auto"/>
        </w:rPr>
      </w:pPr>
      <w:r>
        <w:rPr>
          <w:rFonts w:hint="eastAsia"/>
          <w:color w:val="auto"/>
        </w:rPr>
        <w:t>另外，</w:t>
      </w:r>
      <w:r>
        <w:rPr>
          <w:color w:val="auto"/>
        </w:rPr>
        <w:t>其</w:t>
      </w:r>
      <w:r>
        <w:rPr>
          <w:rFonts w:hint="eastAsia"/>
          <w:color w:val="auto"/>
        </w:rPr>
        <w:t>体积小重量轻、安装更方便、占地面积小且后期维护方便。换热器为全不锈钢材质，换热管束为316L,外壳为304材质，耐高温高压，使用更方便安全。</w:t>
      </w:r>
    </w:p>
    <w:p>
      <w:pPr>
        <w:pStyle w:val="4"/>
        <w:ind w:firstLine="602"/>
        <w:rPr>
          <w:color w:val="auto"/>
        </w:rPr>
      </w:pPr>
      <w:bookmarkStart w:id="72" w:name="_Toc40625207"/>
      <w:r>
        <w:rPr>
          <w:color w:val="auto"/>
        </w:rPr>
        <w:t>7.1.2</w:t>
      </w:r>
      <w:r>
        <w:rPr>
          <w:rFonts w:hint="eastAsia"/>
          <w:color w:val="auto"/>
        </w:rPr>
        <w:t>通用</w:t>
      </w:r>
      <w:r>
        <w:rPr>
          <w:color w:val="auto"/>
        </w:rPr>
        <w:t>节能技术措施</w:t>
      </w:r>
      <w:bookmarkEnd w:id="72"/>
    </w:p>
    <w:p>
      <w:pPr>
        <w:pStyle w:val="5"/>
        <w:ind w:firstLine="560"/>
        <w:rPr>
          <w:color w:val="auto"/>
        </w:rPr>
      </w:pPr>
      <w:r>
        <w:rPr>
          <w:rFonts w:hint="eastAsia"/>
          <w:color w:val="auto"/>
        </w:rPr>
        <w:t>7.</w:t>
      </w:r>
      <w:r>
        <w:rPr>
          <w:color w:val="auto"/>
        </w:rPr>
        <w:t>1</w:t>
      </w:r>
      <w:r>
        <w:rPr>
          <w:rFonts w:hint="eastAsia"/>
          <w:color w:val="auto"/>
        </w:rPr>
        <w:t>.</w:t>
      </w:r>
      <w:r>
        <w:rPr>
          <w:color w:val="auto"/>
        </w:rPr>
        <w:t>2</w:t>
      </w:r>
      <w:r>
        <w:rPr>
          <w:rFonts w:hint="eastAsia"/>
          <w:color w:val="auto"/>
        </w:rPr>
        <w:t>.1供配电系统节能技术措施</w:t>
      </w:r>
    </w:p>
    <w:p>
      <w:pPr>
        <w:ind w:firstLine="560"/>
        <w:rPr>
          <w:color w:val="auto"/>
        </w:rPr>
      </w:pPr>
      <w:r>
        <w:rPr>
          <w:rFonts w:hint="eastAsia"/>
          <w:color w:val="auto"/>
        </w:rPr>
        <w:t>（1）配置节能型动力变压器</w:t>
      </w:r>
    </w:p>
    <w:p>
      <w:pPr>
        <w:ind w:firstLine="560"/>
        <w:rPr>
          <w:color w:val="auto"/>
        </w:rPr>
      </w:pPr>
      <w:r>
        <w:rPr>
          <w:rFonts w:hint="eastAsia"/>
          <w:color w:val="auto"/>
        </w:rPr>
        <w:t>1）区内变配电全部采用节能型变压器，企业根据工艺设备需要确定合理的负荷率，供电回路采用自动功率因数补偿装置使功率因数提高到 0.95 以上；</w:t>
      </w:r>
    </w:p>
    <w:p>
      <w:pPr>
        <w:ind w:firstLine="560"/>
        <w:rPr>
          <w:color w:val="auto"/>
        </w:rPr>
      </w:pPr>
      <w:r>
        <w:rPr>
          <w:rFonts w:hint="eastAsia"/>
          <w:color w:val="auto"/>
        </w:rPr>
        <w:t>2）区域内企业投产后加强运行变压器的内部管理，及时地将暂不使用的供用电回路与电源线路断开</w:t>
      </w:r>
      <w:r>
        <w:rPr>
          <w:color w:val="auto"/>
        </w:rPr>
        <w:t>，</w:t>
      </w:r>
      <w:r>
        <w:rPr>
          <w:rFonts w:hint="eastAsia"/>
          <w:color w:val="auto"/>
        </w:rPr>
        <w:t>使线路上的空载运行损耗降至最低；</w:t>
      </w:r>
    </w:p>
    <w:p>
      <w:pPr>
        <w:ind w:firstLine="560"/>
        <w:rPr>
          <w:color w:val="auto"/>
        </w:rPr>
      </w:pPr>
      <w:r>
        <w:rPr>
          <w:rFonts w:hint="eastAsia"/>
          <w:color w:val="auto"/>
        </w:rPr>
        <w:t>3）加强系统的总体负荷平衡调整，定期对三相负荷进行测定，及时进行三相负荷调整，保证系统的三相负载平衡。</w:t>
      </w:r>
    </w:p>
    <w:p>
      <w:pPr>
        <w:ind w:firstLine="560"/>
        <w:rPr>
          <w:color w:val="auto"/>
        </w:rPr>
      </w:pPr>
      <w:r>
        <w:rPr>
          <w:rFonts w:hint="eastAsia"/>
          <w:color w:val="auto"/>
        </w:rPr>
        <w:t>（2）优化供配电系统</w:t>
      </w:r>
    </w:p>
    <w:p>
      <w:pPr>
        <w:ind w:firstLine="560"/>
        <w:rPr>
          <w:color w:val="auto"/>
        </w:rPr>
      </w:pPr>
      <w:r>
        <w:rPr>
          <w:rFonts w:hint="eastAsia"/>
          <w:color w:val="auto"/>
        </w:rPr>
        <w:t>1）进一步优化设计供配电系统，降低线损率，使得线损率控制在 1.5%以内（一次变压≤3.5%）；变配电系统采取集中和就地补偿相结合的补偿方式，选用高性能无功补偿装置提高功率因素，使总功率因数目标控制在 0.95 左右，将变压器设置在负荷中心，以缩短管线，减少线损。</w:t>
      </w:r>
    </w:p>
    <w:p>
      <w:pPr>
        <w:ind w:firstLine="560"/>
        <w:rPr>
          <w:color w:val="auto"/>
        </w:rPr>
      </w:pPr>
      <w:r>
        <w:rPr>
          <w:rFonts w:hint="eastAsia"/>
          <w:color w:val="auto"/>
        </w:rPr>
        <w:t>2）重视网络配置，包括力求电网相间平衡，选用低能耗导线，减小线网损失。</w:t>
      </w:r>
    </w:p>
    <w:p>
      <w:pPr>
        <w:ind w:firstLine="560"/>
        <w:rPr>
          <w:color w:val="auto"/>
        </w:rPr>
      </w:pPr>
      <w:r>
        <w:rPr>
          <w:rFonts w:hint="eastAsia"/>
          <w:color w:val="auto"/>
        </w:rPr>
        <w:t>（3）治理谐波：电力系统中的谐波主要是由于电网电气参数波动或瞬间干扰所引起，如电压波动、浪涌冲击、谐波、三相不平衡、功率因数过低、缺相运行等，易造成设备运行故障、维修工作量增加及耗电等损失，可在谐波源处安装滤波器，就近吸收谐波源产生的谐波电流。</w:t>
      </w:r>
    </w:p>
    <w:p>
      <w:pPr>
        <w:ind w:firstLine="560"/>
        <w:rPr>
          <w:color w:val="auto"/>
        </w:rPr>
      </w:pPr>
      <w:r>
        <w:rPr>
          <w:rFonts w:hint="eastAsia"/>
          <w:color w:val="auto"/>
        </w:rPr>
        <w:t>（4）低压配电线路节能：低压配电线路应将“电能损耗大小”作为安装的依据之一，即在经济合理的原则下，可优先选用电导率较小的材质做导线，铜芯最佳，铝芯线较次。 同时，尽可能减少导线长度，变压器尽量接近负荷中心；可适当增大导线截面积以减少输电线路电能损耗；此外企业应定期进行线路测试，合理调整用电负荷，使主要配电线路经济运行。</w:t>
      </w:r>
    </w:p>
    <w:p>
      <w:pPr>
        <w:pStyle w:val="5"/>
        <w:ind w:firstLine="560"/>
        <w:rPr>
          <w:color w:val="auto"/>
        </w:rPr>
      </w:pPr>
      <w:r>
        <w:rPr>
          <w:rFonts w:hint="eastAsia"/>
          <w:color w:val="auto"/>
        </w:rPr>
        <w:t>7.</w:t>
      </w:r>
      <w:r>
        <w:rPr>
          <w:color w:val="auto"/>
        </w:rPr>
        <w:t>1</w:t>
      </w:r>
      <w:r>
        <w:rPr>
          <w:rFonts w:hint="eastAsia"/>
          <w:color w:val="auto"/>
        </w:rPr>
        <w:t>.</w:t>
      </w:r>
      <w:r>
        <w:rPr>
          <w:color w:val="auto"/>
        </w:rPr>
        <w:t>2</w:t>
      </w:r>
      <w:r>
        <w:rPr>
          <w:rFonts w:hint="eastAsia"/>
          <w:color w:val="auto"/>
        </w:rPr>
        <w:t>.</w:t>
      </w:r>
      <w:r>
        <w:rPr>
          <w:color w:val="auto"/>
        </w:rPr>
        <w:t>2</w:t>
      </w:r>
      <w:r>
        <w:rPr>
          <w:rFonts w:hint="eastAsia"/>
          <w:color w:val="auto"/>
        </w:rPr>
        <w:t>电机节能技术措施</w:t>
      </w:r>
    </w:p>
    <w:p>
      <w:pPr>
        <w:ind w:firstLine="560"/>
        <w:rPr>
          <w:color w:val="auto"/>
        </w:rPr>
      </w:pPr>
      <w:r>
        <w:rPr>
          <w:rFonts w:hint="eastAsia"/>
          <w:color w:val="auto"/>
        </w:rPr>
        <w:t>（1）推广高效节能电动机。推广高效节能电机、稀土永磁电动机，高效风机、泵、压缩机，高效传动系统等；</w:t>
      </w:r>
    </w:p>
    <w:p>
      <w:pPr>
        <w:ind w:firstLine="560"/>
        <w:rPr>
          <w:color w:val="auto"/>
        </w:rPr>
      </w:pPr>
      <w:r>
        <w:rPr>
          <w:rFonts w:hint="eastAsia"/>
          <w:color w:val="auto"/>
        </w:rPr>
        <w:t>（2）提高电机及供配电系统效率。推广变频调速、永磁调速等先进电机调速技术，改善风机、泵类电机系统调节方式。重点对大中型变工况电机系统进行调速改造，合理匹配电机、供配电系统，消除“大马拉小车”现象；</w:t>
      </w:r>
    </w:p>
    <w:p>
      <w:pPr>
        <w:ind w:firstLine="560"/>
        <w:rPr>
          <w:color w:val="auto"/>
        </w:rPr>
      </w:pPr>
      <w:r>
        <w:rPr>
          <w:rFonts w:hint="eastAsia"/>
          <w:color w:val="auto"/>
        </w:rPr>
        <w:t>（3）被拖动装置控制和设备改造，以先进的电力电子技术传动方式改造传统的机械传动方式，逐步采用交流调速取代直流调速，采用高新技术改造拖动装置等；</w:t>
      </w:r>
    </w:p>
    <w:p>
      <w:pPr>
        <w:ind w:firstLine="560"/>
        <w:rPr>
          <w:color w:val="auto"/>
        </w:rPr>
      </w:pPr>
      <w:r>
        <w:rPr>
          <w:rFonts w:hint="eastAsia"/>
          <w:color w:val="auto"/>
        </w:rPr>
        <w:t>（4）优化电机系统的运行和控制。推广软启动装置、无功补偿装置、计算机自动控制系统等，通过过程控制合理配置能量，实现系统经济运行。</w:t>
      </w:r>
    </w:p>
    <w:p>
      <w:pPr>
        <w:pStyle w:val="9"/>
        <w:keepNext/>
        <w:rPr>
          <w:color w:val="auto"/>
        </w:rPr>
      </w:pPr>
      <w:r>
        <w:rPr>
          <w:rFonts w:hint="eastAsia"/>
          <w:color w:val="auto"/>
        </w:rPr>
        <w:t xml:space="preserve">表7- </w:t>
      </w:r>
      <w:r>
        <w:rPr>
          <w:color w:val="auto"/>
        </w:rPr>
        <w:fldChar w:fldCharType="begin"/>
      </w:r>
      <w:r>
        <w:rPr>
          <w:color w:val="auto"/>
        </w:rPr>
        <w:instrText xml:space="preserve"> </w:instrText>
      </w:r>
      <w:r>
        <w:rPr>
          <w:rFonts w:hint="eastAsia"/>
          <w:color w:val="auto"/>
        </w:rPr>
        <w:instrText xml:space="preserve">SEQ 表7-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电机系统节能改造技术指南</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624"/>
        <w:gridCol w:w="1134"/>
        <w:gridCol w:w="4395"/>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b/>
                <w:color w:val="auto"/>
                <w:sz w:val="24"/>
              </w:rPr>
            </w:pPr>
            <w:r>
              <w:rPr>
                <w:rFonts w:hint="eastAsia"/>
                <w:b/>
                <w:color w:val="auto"/>
                <w:sz w:val="24"/>
              </w:rPr>
              <w:t>序号</w:t>
            </w:r>
          </w:p>
        </w:tc>
        <w:tc>
          <w:tcPr>
            <w:tcW w:w="1134" w:type="dxa"/>
            <w:vAlign w:val="center"/>
          </w:tcPr>
          <w:p>
            <w:pPr>
              <w:spacing w:line="240" w:lineRule="auto"/>
              <w:ind w:firstLine="0" w:firstLineChars="0"/>
              <w:jc w:val="center"/>
              <w:rPr>
                <w:b/>
                <w:color w:val="auto"/>
                <w:sz w:val="24"/>
              </w:rPr>
            </w:pPr>
            <w:r>
              <w:rPr>
                <w:rFonts w:hint="eastAsia"/>
                <w:b/>
                <w:color w:val="auto"/>
                <w:sz w:val="24"/>
              </w:rPr>
              <w:t>技术方案</w:t>
            </w:r>
          </w:p>
        </w:tc>
        <w:tc>
          <w:tcPr>
            <w:tcW w:w="4395" w:type="dxa"/>
            <w:vAlign w:val="center"/>
          </w:tcPr>
          <w:p>
            <w:pPr>
              <w:spacing w:line="240" w:lineRule="auto"/>
              <w:ind w:firstLine="0" w:firstLineChars="0"/>
              <w:jc w:val="center"/>
              <w:rPr>
                <w:b/>
                <w:color w:val="auto"/>
                <w:sz w:val="24"/>
              </w:rPr>
            </w:pPr>
            <w:r>
              <w:rPr>
                <w:rFonts w:hint="eastAsia"/>
                <w:b/>
                <w:color w:val="auto"/>
                <w:sz w:val="24"/>
              </w:rPr>
              <w:t>适用</w:t>
            </w:r>
            <w:r>
              <w:rPr>
                <w:b/>
                <w:color w:val="auto"/>
                <w:sz w:val="24"/>
              </w:rPr>
              <w:t>场所</w:t>
            </w:r>
          </w:p>
        </w:tc>
        <w:tc>
          <w:tcPr>
            <w:tcW w:w="2267" w:type="dxa"/>
            <w:vAlign w:val="center"/>
          </w:tcPr>
          <w:p>
            <w:pPr>
              <w:spacing w:line="240" w:lineRule="auto"/>
              <w:ind w:firstLine="0" w:firstLineChars="0"/>
              <w:jc w:val="center"/>
              <w:rPr>
                <w:b/>
                <w:color w:val="auto"/>
                <w:sz w:val="24"/>
              </w:rPr>
            </w:pPr>
            <w:r>
              <w:rPr>
                <w:rFonts w:hint="eastAsia"/>
                <w:b/>
                <w:color w:val="auto"/>
                <w:sz w:val="24"/>
              </w:rPr>
              <w:t>节电效果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color w:val="auto"/>
                <w:sz w:val="24"/>
              </w:rPr>
            </w:pPr>
            <w:r>
              <w:rPr>
                <w:rFonts w:hint="eastAsia"/>
                <w:color w:val="auto"/>
                <w:sz w:val="24"/>
              </w:rPr>
              <w:t>1</w:t>
            </w:r>
          </w:p>
        </w:tc>
        <w:tc>
          <w:tcPr>
            <w:tcW w:w="1134" w:type="dxa"/>
            <w:vAlign w:val="center"/>
          </w:tcPr>
          <w:p>
            <w:pPr>
              <w:spacing w:line="240" w:lineRule="auto"/>
              <w:ind w:firstLine="0" w:firstLineChars="0"/>
              <w:jc w:val="center"/>
              <w:rPr>
                <w:color w:val="auto"/>
                <w:sz w:val="24"/>
              </w:rPr>
            </w:pPr>
            <w:r>
              <w:rPr>
                <w:rFonts w:hint="eastAsia"/>
                <w:color w:val="auto"/>
                <w:sz w:val="24"/>
              </w:rPr>
              <w:t>变频调速技术</w:t>
            </w:r>
          </w:p>
        </w:tc>
        <w:tc>
          <w:tcPr>
            <w:tcW w:w="4395" w:type="dxa"/>
            <w:vAlign w:val="center"/>
          </w:tcPr>
          <w:p>
            <w:pPr>
              <w:spacing w:line="240" w:lineRule="auto"/>
              <w:ind w:firstLine="0" w:firstLineChars="0"/>
              <w:rPr>
                <w:color w:val="auto"/>
                <w:sz w:val="24"/>
              </w:rPr>
            </w:pPr>
            <w:r>
              <w:rPr>
                <w:rFonts w:hint="eastAsia"/>
                <w:color w:val="auto"/>
                <w:sz w:val="24"/>
              </w:rPr>
              <w:t>可用于高压、低压电机系统改造，适用于需要频繁调节流量的场所，如风机、水泵、压缩机等。</w:t>
            </w:r>
          </w:p>
        </w:tc>
        <w:tc>
          <w:tcPr>
            <w:tcW w:w="2267" w:type="dxa"/>
            <w:vAlign w:val="center"/>
          </w:tcPr>
          <w:p>
            <w:pPr>
              <w:spacing w:line="240" w:lineRule="auto"/>
              <w:ind w:firstLine="0" w:firstLineChars="0"/>
              <w:rPr>
                <w:color w:val="auto"/>
                <w:sz w:val="24"/>
              </w:rPr>
            </w:pPr>
            <w:r>
              <w:rPr>
                <w:rFonts w:hint="eastAsia"/>
                <w:color w:val="auto"/>
                <w:sz w:val="24"/>
              </w:rPr>
              <w:t>节电率为10%~50%，投资回收期一般在2年左右。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color w:val="auto"/>
                <w:sz w:val="24"/>
              </w:rPr>
            </w:pPr>
            <w:r>
              <w:rPr>
                <w:rFonts w:hint="eastAsia"/>
                <w:color w:val="auto"/>
                <w:sz w:val="24"/>
              </w:rPr>
              <w:t>2</w:t>
            </w:r>
          </w:p>
        </w:tc>
        <w:tc>
          <w:tcPr>
            <w:tcW w:w="1134" w:type="dxa"/>
            <w:vAlign w:val="center"/>
          </w:tcPr>
          <w:p>
            <w:pPr>
              <w:spacing w:line="240" w:lineRule="auto"/>
              <w:ind w:firstLine="0" w:firstLineChars="0"/>
              <w:jc w:val="center"/>
              <w:rPr>
                <w:color w:val="auto"/>
                <w:sz w:val="24"/>
              </w:rPr>
            </w:pPr>
            <w:r>
              <w:rPr>
                <w:rFonts w:hint="eastAsia"/>
                <w:color w:val="auto"/>
                <w:sz w:val="24"/>
              </w:rPr>
              <w:t>变极调速技术</w:t>
            </w:r>
          </w:p>
        </w:tc>
        <w:tc>
          <w:tcPr>
            <w:tcW w:w="4395" w:type="dxa"/>
            <w:vAlign w:val="center"/>
          </w:tcPr>
          <w:p>
            <w:pPr>
              <w:spacing w:line="240" w:lineRule="auto"/>
              <w:ind w:firstLine="0" w:firstLineChars="0"/>
              <w:rPr>
                <w:color w:val="auto"/>
                <w:sz w:val="24"/>
              </w:rPr>
            </w:pPr>
            <w:r>
              <w:rPr>
                <w:rFonts w:hint="eastAsia"/>
                <w:color w:val="auto"/>
                <w:sz w:val="24"/>
              </w:rPr>
              <w:t>主要用于高压电机系统改造，适用于需要定量调节、但不需要频繁调节流量的场所，如风机、水泵等。</w:t>
            </w:r>
          </w:p>
        </w:tc>
        <w:tc>
          <w:tcPr>
            <w:tcW w:w="2267" w:type="dxa"/>
            <w:vAlign w:val="center"/>
          </w:tcPr>
          <w:p>
            <w:pPr>
              <w:spacing w:line="240" w:lineRule="auto"/>
              <w:ind w:firstLine="0" w:firstLineChars="0"/>
              <w:rPr>
                <w:color w:val="auto"/>
                <w:sz w:val="24"/>
              </w:rPr>
            </w:pPr>
            <w:r>
              <w:rPr>
                <w:rFonts w:hint="eastAsia"/>
                <w:color w:val="auto"/>
                <w:sz w:val="24"/>
              </w:rPr>
              <w:t>节电率为20%以上，投资回收期一般在1年左右。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color w:val="auto"/>
                <w:sz w:val="24"/>
              </w:rPr>
            </w:pPr>
            <w:r>
              <w:rPr>
                <w:rFonts w:hint="eastAsia"/>
                <w:color w:val="auto"/>
                <w:sz w:val="24"/>
              </w:rPr>
              <w:t>3</w:t>
            </w:r>
          </w:p>
        </w:tc>
        <w:tc>
          <w:tcPr>
            <w:tcW w:w="1134" w:type="dxa"/>
            <w:vAlign w:val="center"/>
          </w:tcPr>
          <w:p>
            <w:pPr>
              <w:spacing w:line="240" w:lineRule="auto"/>
              <w:ind w:firstLine="0" w:firstLineChars="0"/>
              <w:jc w:val="center"/>
              <w:rPr>
                <w:color w:val="auto"/>
                <w:sz w:val="24"/>
              </w:rPr>
            </w:pPr>
            <w:r>
              <w:rPr>
                <w:rFonts w:hint="eastAsia"/>
                <w:color w:val="auto"/>
                <w:sz w:val="24"/>
              </w:rPr>
              <w:t>相控调压技术</w:t>
            </w:r>
          </w:p>
        </w:tc>
        <w:tc>
          <w:tcPr>
            <w:tcW w:w="4395" w:type="dxa"/>
            <w:vAlign w:val="center"/>
          </w:tcPr>
          <w:p>
            <w:pPr>
              <w:spacing w:line="240" w:lineRule="auto"/>
              <w:ind w:firstLine="0" w:firstLineChars="0"/>
              <w:rPr>
                <w:color w:val="auto"/>
                <w:sz w:val="24"/>
              </w:rPr>
            </w:pPr>
            <w:r>
              <w:rPr>
                <w:rFonts w:hint="eastAsia"/>
                <w:color w:val="auto"/>
                <w:sz w:val="24"/>
              </w:rPr>
              <w:t>可用于高压、低压电机系统改造，适用于负荷率、功率因数较低，负载变化较大且速度恒定的场所，如机床、输送带等。</w:t>
            </w:r>
          </w:p>
        </w:tc>
        <w:tc>
          <w:tcPr>
            <w:tcW w:w="2267" w:type="dxa"/>
            <w:vAlign w:val="center"/>
          </w:tcPr>
          <w:p>
            <w:pPr>
              <w:spacing w:line="240" w:lineRule="auto"/>
              <w:ind w:firstLine="0" w:firstLineChars="0"/>
              <w:rPr>
                <w:color w:val="auto"/>
                <w:sz w:val="24"/>
              </w:rPr>
            </w:pPr>
            <w:r>
              <w:rPr>
                <w:rFonts w:hint="eastAsia"/>
                <w:color w:val="auto"/>
                <w:sz w:val="24"/>
              </w:rPr>
              <w:t>节电率为2%，投资回收期一般在3年左右。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color w:val="auto"/>
                <w:sz w:val="24"/>
              </w:rPr>
            </w:pPr>
            <w:r>
              <w:rPr>
                <w:rFonts w:hint="eastAsia"/>
                <w:color w:val="auto"/>
                <w:sz w:val="24"/>
              </w:rPr>
              <w:t>4</w:t>
            </w:r>
          </w:p>
        </w:tc>
        <w:tc>
          <w:tcPr>
            <w:tcW w:w="1134" w:type="dxa"/>
            <w:vAlign w:val="center"/>
          </w:tcPr>
          <w:p>
            <w:pPr>
              <w:spacing w:line="240" w:lineRule="auto"/>
              <w:ind w:firstLine="0" w:firstLineChars="0"/>
              <w:jc w:val="center"/>
              <w:rPr>
                <w:color w:val="auto"/>
                <w:sz w:val="24"/>
              </w:rPr>
            </w:pPr>
            <w:r>
              <w:rPr>
                <w:rFonts w:hint="eastAsia"/>
                <w:color w:val="auto"/>
                <w:sz w:val="24"/>
              </w:rPr>
              <w:t>功率因数补偿</w:t>
            </w:r>
          </w:p>
        </w:tc>
        <w:tc>
          <w:tcPr>
            <w:tcW w:w="4395" w:type="dxa"/>
            <w:vAlign w:val="center"/>
          </w:tcPr>
          <w:p>
            <w:pPr>
              <w:spacing w:line="240" w:lineRule="auto"/>
              <w:ind w:firstLine="0" w:firstLineChars="0"/>
              <w:rPr>
                <w:color w:val="auto"/>
                <w:sz w:val="24"/>
              </w:rPr>
            </w:pPr>
            <w:r>
              <w:rPr>
                <w:rFonts w:hint="eastAsia"/>
                <w:color w:val="auto"/>
                <w:sz w:val="24"/>
              </w:rPr>
              <w:t>适用于负荷功率因数低、负载功率变化大，变化速度快、有谐波源且谐波污染大的电机集群，如钢厂、化工厂、机械加工厂等。</w:t>
            </w:r>
          </w:p>
        </w:tc>
        <w:tc>
          <w:tcPr>
            <w:tcW w:w="2267" w:type="dxa"/>
            <w:vAlign w:val="center"/>
          </w:tcPr>
          <w:p>
            <w:pPr>
              <w:spacing w:line="240" w:lineRule="auto"/>
              <w:ind w:firstLine="0" w:firstLineChars="0"/>
              <w:rPr>
                <w:color w:val="auto"/>
                <w:sz w:val="24"/>
              </w:rPr>
            </w:pPr>
            <w:r>
              <w:rPr>
                <w:rFonts w:hint="eastAsia"/>
                <w:color w:val="auto"/>
                <w:sz w:val="24"/>
              </w:rPr>
              <w:t>综合节电率为4%左右，投资回收期一般在3~5年。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Merge w:val="restart"/>
            <w:vAlign w:val="center"/>
          </w:tcPr>
          <w:p>
            <w:pPr>
              <w:spacing w:line="240" w:lineRule="auto"/>
              <w:ind w:firstLine="0" w:firstLineChars="0"/>
              <w:jc w:val="center"/>
              <w:rPr>
                <w:color w:val="auto"/>
                <w:sz w:val="24"/>
              </w:rPr>
            </w:pPr>
            <w:r>
              <w:rPr>
                <w:rFonts w:hint="eastAsia"/>
                <w:color w:val="auto"/>
                <w:sz w:val="24"/>
              </w:rPr>
              <w:t>5</w:t>
            </w:r>
          </w:p>
        </w:tc>
        <w:tc>
          <w:tcPr>
            <w:tcW w:w="1134" w:type="dxa"/>
            <w:vMerge w:val="restart"/>
            <w:vAlign w:val="center"/>
          </w:tcPr>
          <w:p>
            <w:pPr>
              <w:spacing w:line="240" w:lineRule="auto"/>
              <w:ind w:firstLine="0" w:firstLineChars="0"/>
              <w:jc w:val="center"/>
              <w:rPr>
                <w:color w:val="auto"/>
                <w:sz w:val="24"/>
              </w:rPr>
            </w:pPr>
            <w:r>
              <w:rPr>
                <w:rFonts w:hint="eastAsia"/>
                <w:color w:val="auto"/>
                <w:sz w:val="24"/>
              </w:rPr>
              <w:t>电机与拖动设备、运行工况匹配技术</w:t>
            </w:r>
          </w:p>
        </w:tc>
        <w:tc>
          <w:tcPr>
            <w:tcW w:w="4395" w:type="dxa"/>
            <w:vAlign w:val="center"/>
          </w:tcPr>
          <w:p>
            <w:pPr>
              <w:spacing w:line="240" w:lineRule="auto"/>
              <w:ind w:firstLine="0" w:firstLineChars="0"/>
              <w:rPr>
                <w:color w:val="auto"/>
                <w:sz w:val="24"/>
              </w:rPr>
            </w:pPr>
            <w:r>
              <w:rPr>
                <w:rFonts w:hint="eastAsia"/>
                <w:color w:val="auto"/>
                <w:sz w:val="24"/>
              </w:rPr>
              <w:t>解决电机额定功率与拖动设备运行功率不匹配问题，适用于高压、低压电机系统“大马拉小车”的改造，如风机、水泵、车床等。</w:t>
            </w:r>
          </w:p>
        </w:tc>
        <w:tc>
          <w:tcPr>
            <w:tcW w:w="2267" w:type="dxa"/>
            <w:vAlign w:val="center"/>
          </w:tcPr>
          <w:p>
            <w:pPr>
              <w:spacing w:line="240" w:lineRule="auto"/>
              <w:ind w:firstLine="0" w:firstLineChars="0"/>
              <w:rPr>
                <w:color w:val="auto"/>
                <w:sz w:val="24"/>
              </w:rPr>
            </w:pPr>
            <w:r>
              <w:rPr>
                <w:rFonts w:hint="eastAsia"/>
                <w:color w:val="auto"/>
                <w:sz w:val="24"/>
              </w:rPr>
              <w:t>节电率为3%~5%，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Merge w:val="continue"/>
            <w:vAlign w:val="center"/>
          </w:tcPr>
          <w:p>
            <w:pPr>
              <w:spacing w:line="240" w:lineRule="auto"/>
              <w:ind w:firstLine="0" w:firstLineChars="0"/>
              <w:jc w:val="center"/>
              <w:rPr>
                <w:color w:val="auto"/>
                <w:sz w:val="24"/>
              </w:rPr>
            </w:pPr>
          </w:p>
        </w:tc>
        <w:tc>
          <w:tcPr>
            <w:tcW w:w="1134" w:type="dxa"/>
            <w:vMerge w:val="continue"/>
            <w:vAlign w:val="center"/>
          </w:tcPr>
          <w:p>
            <w:pPr>
              <w:spacing w:line="240" w:lineRule="auto"/>
              <w:ind w:firstLine="0" w:firstLineChars="0"/>
              <w:jc w:val="center"/>
              <w:rPr>
                <w:color w:val="auto"/>
                <w:sz w:val="24"/>
              </w:rPr>
            </w:pPr>
          </w:p>
        </w:tc>
        <w:tc>
          <w:tcPr>
            <w:tcW w:w="4395" w:type="dxa"/>
            <w:vAlign w:val="center"/>
          </w:tcPr>
          <w:p>
            <w:pPr>
              <w:spacing w:line="240" w:lineRule="auto"/>
              <w:ind w:firstLine="0" w:firstLineChars="0"/>
              <w:rPr>
                <w:color w:val="auto"/>
                <w:sz w:val="24"/>
              </w:rPr>
            </w:pPr>
            <w:r>
              <w:rPr>
                <w:rFonts w:hint="eastAsia"/>
                <w:color w:val="auto"/>
                <w:sz w:val="24"/>
              </w:rPr>
              <w:t>解决重载或大惯量设备要求启动转矩大、运行效率低的问题，适用于高启动转矩且常处于空载、轻载的场合，如冲床、搅拌机、磨机、抽油机、注塑机等。</w:t>
            </w:r>
          </w:p>
        </w:tc>
        <w:tc>
          <w:tcPr>
            <w:tcW w:w="2267" w:type="dxa"/>
            <w:vAlign w:val="center"/>
          </w:tcPr>
          <w:p>
            <w:pPr>
              <w:spacing w:line="240" w:lineRule="auto"/>
              <w:ind w:firstLine="0" w:firstLineChars="0"/>
              <w:rPr>
                <w:color w:val="auto"/>
                <w:sz w:val="24"/>
              </w:rPr>
            </w:pPr>
            <w:r>
              <w:rPr>
                <w:rFonts w:hint="eastAsia"/>
                <w:color w:val="auto"/>
                <w:sz w:val="24"/>
              </w:rPr>
              <w:t>节电率为5%~15%，投资回收期一般在1~3年。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Merge w:val="continue"/>
            <w:vAlign w:val="center"/>
          </w:tcPr>
          <w:p>
            <w:pPr>
              <w:spacing w:line="240" w:lineRule="auto"/>
              <w:ind w:firstLine="0" w:firstLineChars="0"/>
              <w:jc w:val="center"/>
              <w:rPr>
                <w:color w:val="auto"/>
                <w:sz w:val="24"/>
              </w:rPr>
            </w:pPr>
          </w:p>
        </w:tc>
        <w:tc>
          <w:tcPr>
            <w:tcW w:w="1134" w:type="dxa"/>
            <w:vMerge w:val="continue"/>
            <w:vAlign w:val="center"/>
          </w:tcPr>
          <w:p>
            <w:pPr>
              <w:spacing w:line="240" w:lineRule="auto"/>
              <w:ind w:firstLine="0" w:firstLineChars="0"/>
              <w:jc w:val="center"/>
              <w:rPr>
                <w:color w:val="auto"/>
                <w:sz w:val="24"/>
              </w:rPr>
            </w:pPr>
          </w:p>
        </w:tc>
        <w:tc>
          <w:tcPr>
            <w:tcW w:w="4395" w:type="dxa"/>
            <w:vAlign w:val="center"/>
          </w:tcPr>
          <w:p>
            <w:pPr>
              <w:spacing w:line="240" w:lineRule="auto"/>
              <w:ind w:firstLine="0" w:firstLineChars="0"/>
              <w:rPr>
                <w:color w:val="auto"/>
                <w:sz w:val="24"/>
              </w:rPr>
            </w:pPr>
            <w:r>
              <w:rPr>
                <w:rFonts w:hint="eastAsia"/>
                <w:color w:val="auto"/>
                <w:sz w:val="24"/>
              </w:rPr>
              <w:t>解决拖动设备效率低或输出与需求不匹配造成系统效率低的问题，适于压力过大、扬程过高或流量过大的场所，如风机、水泵等。</w:t>
            </w:r>
          </w:p>
        </w:tc>
        <w:tc>
          <w:tcPr>
            <w:tcW w:w="2267" w:type="dxa"/>
            <w:vAlign w:val="center"/>
          </w:tcPr>
          <w:p>
            <w:pPr>
              <w:spacing w:line="240" w:lineRule="auto"/>
              <w:ind w:firstLine="0" w:firstLineChars="0"/>
              <w:rPr>
                <w:color w:val="auto"/>
                <w:sz w:val="24"/>
              </w:rPr>
            </w:pPr>
            <w:r>
              <w:rPr>
                <w:rFonts w:hint="eastAsia"/>
                <w:color w:val="auto"/>
                <w:sz w:val="24"/>
              </w:rPr>
              <w:t>节电率为10%~30%，投资回收期一般在1~2年。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624" w:type="dxa"/>
            <w:vAlign w:val="center"/>
          </w:tcPr>
          <w:p>
            <w:pPr>
              <w:spacing w:line="240" w:lineRule="auto"/>
              <w:ind w:firstLine="0" w:firstLineChars="0"/>
              <w:jc w:val="center"/>
              <w:rPr>
                <w:color w:val="auto"/>
                <w:sz w:val="24"/>
              </w:rPr>
            </w:pPr>
            <w:r>
              <w:rPr>
                <w:rFonts w:hint="eastAsia"/>
                <w:color w:val="auto"/>
                <w:sz w:val="24"/>
              </w:rPr>
              <w:t>6</w:t>
            </w:r>
          </w:p>
        </w:tc>
        <w:tc>
          <w:tcPr>
            <w:tcW w:w="1134" w:type="dxa"/>
            <w:vAlign w:val="center"/>
          </w:tcPr>
          <w:p>
            <w:pPr>
              <w:spacing w:line="240" w:lineRule="auto"/>
              <w:ind w:firstLine="0" w:firstLineChars="0"/>
              <w:jc w:val="center"/>
              <w:rPr>
                <w:color w:val="auto"/>
                <w:sz w:val="24"/>
              </w:rPr>
            </w:pPr>
            <w:r>
              <w:rPr>
                <w:rFonts w:hint="eastAsia"/>
                <w:color w:val="auto"/>
                <w:sz w:val="24"/>
              </w:rPr>
              <w:t>电机系统优化和运行控制</w:t>
            </w:r>
          </w:p>
        </w:tc>
        <w:tc>
          <w:tcPr>
            <w:tcW w:w="4395" w:type="dxa"/>
            <w:vAlign w:val="center"/>
          </w:tcPr>
          <w:p>
            <w:pPr>
              <w:spacing w:line="240" w:lineRule="auto"/>
              <w:ind w:firstLine="0" w:firstLineChars="0"/>
              <w:rPr>
                <w:color w:val="auto"/>
                <w:sz w:val="24"/>
              </w:rPr>
            </w:pPr>
            <w:r>
              <w:rPr>
                <w:rFonts w:hint="eastAsia"/>
                <w:color w:val="auto"/>
                <w:sz w:val="24"/>
              </w:rPr>
              <w:t>适用于电机密集且关联度较大的生产线和工厂，如化工、轻纺、制药、食品、冶金等工业企业中同一工序设备多用、多备和上下游工序影响较大且工艺、产能经常变化的场所。</w:t>
            </w:r>
          </w:p>
        </w:tc>
        <w:tc>
          <w:tcPr>
            <w:tcW w:w="2267" w:type="dxa"/>
            <w:vAlign w:val="center"/>
          </w:tcPr>
          <w:p>
            <w:pPr>
              <w:spacing w:line="240" w:lineRule="auto"/>
              <w:ind w:firstLine="0" w:firstLineChars="0"/>
              <w:rPr>
                <w:color w:val="auto"/>
                <w:sz w:val="24"/>
              </w:rPr>
            </w:pPr>
            <w:r>
              <w:rPr>
                <w:rFonts w:hint="eastAsia"/>
                <w:color w:val="auto"/>
                <w:sz w:val="24"/>
              </w:rPr>
              <w:t>节电率为5%~15%，投资回收期一般在2~3年。</w:t>
            </w:r>
          </w:p>
        </w:tc>
      </w:tr>
    </w:tbl>
    <w:p>
      <w:pPr>
        <w:spacing w:line="240" w:lineRule="auto"/>
        <w:ind w:firstLine="0" w:firstLineChars="0"/>
        <w:rPr>
          <w:color w:val="auto"/>
        </w:rPr>
      </w:pPr>
    </w:p>
    <w:p>
      <w:pPr>
        <w:pStyle w:val="5"/>
        <w:ind w:firstLine="560"/>
        <w:rPr>
          <w:color w:val="auto"/>
        </w:rPr>
      </w:pPr>
      <w:r>
        <w:rPr>
          <w:rFonts w:hint="eastAsia"/>
          <w:color w:val="auto"/>
        </w:rPr>
        <w:t>7.1.2.3空压机节能技术措施</w:t>
      </w:r>
    </w:p>
    <w:p>
      <w:pPr>
        <w:ind w:firstLine="560"/>
        <w:rPr>
          <w:color w:val="auto"/>
        </w:rPr>
      </w:pPr>
      <w:r>
        <w:rPr>
          <w:rFonts w:hint="eastAsia"/>
          <w:color w:val="auto"/>
        </w:rPr>
        <w:t>（1）空压机采用变频调速。选用高效节能型空压机，通过变频调速根据系统用气量变化，控制机组运行，在满足系统用气要求的同时达到节能的目的。当用气量增加时，机组通过转速自动的加快来增加产气量，以不使压力下降，确保恒压供气。当用气量减少时，机组通过转速自动减慢来减少产气量，以不使压力上升，并继续恒压供气。</w:t>
      </w:r>
    </w:p>
    <w:p>
      <w:pPr>
        <w:ind w:firstLine="560"/>
        <w:rPr>
          <w:color w:val="auto"/>
        </w:rPr>
      </w:pPr>
      <w:r>
        <w:rPr>
          <w:rFonts w:hint="eastAsia"/>
          <w:color w:val="auto"/>
        </w:rPr>
        <w:t>（2）空压机安装余热回收装置。企业存在热水等低温余热条件，可考虑对75kW以上空压机采取余热回收措施。根据空压机运行特性，空气过滤后进入压缩机主机，在压缩过程中与喷入的冷却润滑油混合，经压缩后的混合气体从压缩腔排入油气分离罐，从而分别得到高温高压的油、气。这些高温高压的油、气必须送入各自的冷却系统，其中压缩空气经冷却器冷却后，最后送入使用系统；而高温高压的润滑油经冷却器冷却后，返回油路进入下一轮循环。在以上过程中，高温高压的油、气所携带的热量大致相当于空气压缩机功率的1/4，其温度通常在80℃</w:t>
      </w:r>
      <w:r>
        <w:rPr>
          <w:color w:val="auto"/>
        </w:rPr>
        <w:t>~</w:t>
      </w:r>
      <w:r>
        <w:rPr>
          <w:rFonts w:hint="eastAsia"/>
          <w:color w:val="auto"/>
        </w:rPr>
        <w:t>100℃之间。</w:t>
      </w:r>
    </w:p>
    <w:p>
      <w:pPr>
        <w:ind w:firstLine="560"/>
        <w:rPr>
          <w:color w:val="auto"/>
        </w:rPr>
      </w:pPr>
      <w:r>
        <w:rPr>
          <w:rFonts w:hint="eastAsia"/>
          <w:color w:val="auto"/>
        </w:rPr>
        <w:t>（3）空压系统分压供气技术。企业存在使用不同压力等级的压缩空气，可实施分压供气技术。降低供气压力是空压系统节能的一项重要措施。供气压力每增加0.1MPa，空压机能耗增加5%</w:t>
      </w:r>
      <w:r>
        <w:rPr>
          <w:color w:val="auto"/>
        </w:rPr>
        <w:t>~</w:t>
      </w:r>
      <w:r>
        <w:rPr>
          <w:rFonts w:hint="eastAsia"/>
          <w:color w:val="auto"/>
        </w:rPr>
        <w:t>10%，气动系统增加耗气14%。而且提高供气压力会增加输气管路的泄漏。</w:t>
      </w:r>
    </w:p>
    <w:p>
      <w:pPr>
        <w:ind w:firstLine="560"/>
        <w:rPr>
          <w:color w:val="auto"/>
        </w:rPr>
      </w:pPr>
      <w:r>
        <w:rPr>
          <w:rFonts w:hint="eastAsia"/>
          <w:color w:val="auto"/>
        </w:rPr>
        <w:t>目前分压供气节能改造主要有两种方式：</w:t>
      </w:r>
    </w:p>
    <w:p>
      <w:pPr>
        <w:ind w:firstLine="560"/>
        <w:rPr>
          <w:color w:val="auto"/>
        </w:rPr>
      </w:pPr>
      <w:r>
        <w:rPr>
          <w:rFonts w:hint="eastAsia"/>
          <w:color w:val="auto"/>
        </w:rPr>
        <w:t>1）空压机分组供气，即将一个空压机组分成几组，每组根据用气设备的需求提供不同压力的压缩空气。</w:t>
      </w:r>
    </w:p>
    <w:p>
      <w:pPr>
        <w:ind w:firstLine="560"/>
        <w:rPr>
          <w:color w:val="auto"/>
        </w:rPr>
      </w:pPr>
      <w:r>
        <w:rPr>
          <w:rFonts w:hint="eastAsia"/>
          <w:color w:val="auto"/>
        </w:rPr>
        <w:t>2）局部增压，即气源提供低压空气，局部采用增压设备进行增压为需要高压空气的设备供气。此方法可以灵活地为局部提供高压空气。在企业现场，一般气动系统需要的高压空气（＞0.7MPa）的量最多占空气总需求量的5%左右，采用局部增压技术是切实可行的。空压系统气动增压，通过改变压缩空气回路，利用活塞对空气进行压缩，达到增压的目的。市场上此类产品较多，比如SMC公司生产的VBA系列的气动增压阀、CKD公司的ABP空气增压器、欧境企业股份有限公司生产的PW系列的气动增压泵等。</w:t>
      </w:r>
    </w:p>
    <w:p>
      <w:pPr>
        <w:pStyle w:val="5"/>
        <w:ind w:firstLine="560"/>
        <w:rPr>
          <w:color w:val="auto"/>
        </w:rPr>
      </w:pPr>
      <w:r>
        <w:rPr>
          <w:rFonts w:hint="eastAsia"/>
          <w:color w:val="auto"/>
        </w:rPr>
        <w:t>7.1.2.4循环水系统节能技术措施</w:t>
      </w:r>
    </w:p>
    <w:p>
      <w:pPr>
        <w:ind w:firstLine="560"/>
        <w:rPr>
          <w:color w:val="auto"/>
        </w:rPr>
      </w:pPr>
      <w:r>
        <w:rPr>
          <w:rFonts w:hint="eastAsia"/>
          <w:color w:val="auto"/>
        </w:rPr>
        <w:t>鼓励采用节能型冷却塔和高效泵节能改造，同时为进一步提高循环水系统电能利用效率，采用循环水系统能量优化方案，即对循环水系统整体考虑，具体节能控制措施如下：</w:t>
      </w:r>
    </w:p>
    <w:p>
      <w:pPr>
        <w:ind w:firstLine="560"/>
        <w:rPr>
          <w:color w:val="auto"/>
        </w:rPr>
      </w:pPr>
      <w:r>
        <w:rPr>
          <w:rFonts w:hint="eastAsia"/>
          <w:color w:val="auto"/>
        </w:rPr>
        <w:t>（1）冷却终端设备温度优化控制</w:t>
      </w:r>
    </w:p>
    <w:p>
      <w:pPr>
        <w:ind w:firstLine="560"/>
        <w:rPr>
          <w:color w:val="auto"/>
        </w:rPr>
      </w:pPr>
      <w:r>
        <w:rPr>
          <w:rFonts w:hint="eastAsia"/>
          <w:color w:val="auto"/>
        </w:rPr>
        <w:t>智慧阀门可以实现每个末端冷却设备的流动参数测量、流量分配与能量调节的一体化控制；根据冷却终端设备的工况变化，智慧阀门的运行模式可进行智能化切换，实现节能控制；利用冷却温度最优控制软件，通过对终端冷却设备的负荷分析，实现输配能效与终端设备能效的持续优化。</w:t>
      </w:r>
    </w:p>
    <w:p>
      <w:pPr>
        <w:ind w:firstLine="560"/>
        <w:rPr>
          <w:color w:val="auto"/>
        </w:rPr>
      </w:pPr>
      <w:r>
        <w:rPr>
          <w:rFonts w:hint="eastAsia"/>
          <w:color w:val="auto"/>
        </w:rPr>
        <w:t>（2）管网阀门的自动调节</w:t>
      </w:r>
    </w:p>
    <w:p>
      <w:pPr>
        <w:ind w:firstLine="560"/>
        <w:rPr>
          <w:color w:val="auto"/>
        </w:rPr>
      </w:pPr>
      <w:r>
        <w:rPr>
          <w:rFonts w:hint="eastAsia"/>
          <w:color w:val="auto"/>
        </w:rPr>
        <w:t>对智慧阀门控制的管网进行高级设定，通过阀门开度的合理化，提高输配能效；当管网的冷却水使用量随机变化时，支管对应的水流量也将自动适应变化、达到按需分配；在线计算分析管网各个单元的冷/热负荷，进行输配能效优化分析，实现技术节能、管理节能与行为节能的一体化。</w:t>
      </w:r>
    </w:p>
    <w:p>
      <w:pPr>
        <w:ind w:firstLine="560"/>
        <w:rPr>
          <w:color w:val="auto"/>
        </w:rPr>
      </w:pPr>
      <w:r>
        <w:rPr>
          <w:rFonts w:hint="eastAsia"/>
          <w:color w:val="auto"/>
        </w:rPr>
        <w:t>（3）冷却塔优化控制</w:t>
      </w:r>
    </w:p>
    <w:p>
      <w:pPr>
        <w:ind w:firstLine="560"/>
        <w:rPr>
          <w:color w:val="auto"/>
        </w:rPr>
      </w:pPr>
      <w:r>
        <w:rPr>
          <w:rFonts w:hint="eastAsia"/>
          <w:color w:val="auto"/>
        </w:rPr>
        <w:t>根据气候条件、系统所需冷却水流量和各个冷却塔的冷却容量，确定冷却塔的开启台数；通过智慧阀门对各个冷却塔的水流量进行优化分配，使得各个冷却塔的冷却效果整体最佳；利用冷却塔的负荷分析和风机的特性曲线，实现冷却风机的最优节能控制。</w:t>
      </w:r>
    </w:p>
    <w:p>
      <w:pPr>
        <w:ind w:firstLine="560"/>
        <w:rPr>
          <w:color w:val="auto"/>
        </w:rPr>
      </w:pPr>
      <w:r>
        <w:rPr>
          <w:rFonts w:hint="eastAsia"/>
          <w:color w:val="auto"/>
        </w:rPr>
        <w:t>（4）泵的节能控制</w:t>
      </w:r>
    </w:p>
    <w:p>
      <w:pPr>
        <w:ind w:firstLine="560"/>
        <w:rPr>
          <w:color w:val="auto"/>
        </w:rPr>
      </w:pPr>
      <w:r>
        <w:rPr>
          <w:rFonts w:hint="eastAsia"/>
          <w:color w:val="auto"/>
        </w:rPr>
        <w:t>利用智慧阀门解决流量输配的平衡问题以及管网阻尼过大问题，通过变频技术，可降低水泵的输出功率；根据水泵特性曲线，利用智能阀门结合变频技术，对水泵机组进行优化控制，使水泵运行在高效区。</w:t>
      </w:r>
    </w:p>
    <w:p>
      <w:pPr>
        <w:ind w:firstLine="560"/>
        <w:rPr>
          <w:color w:val="auto"/>
        </w:rPr>
      </w:pPr>
      <w:r>
        <w:rPr>
          <w:rFonts w:hint="eastAsia"/>
          <w:color w:val="auto"/>
        </w:rPr>
        <w:t>（5）运用减阻节能剂</w:t>
      </w:r>
    </w:p>
    <w:p>
      <w:pPr>
        <w:ind w:firstLine="560"/>
        <w:rPr>
          <w:color w:val="auto"/>
        </w:rPr>
      </w:pPr>
      <w:r>
        <w:rPr>
          <w:rFonts w:hint="eastAsia"/>
          <w:color w:val="auto"/>
        </w:rPr>
        <w:t>该药剂在于降低流体流动阻力实现节能的化学添加剂，国外发达国家对表面活性减阻技术进行了大量的研究工作，取得了很大成效，管道摩擦阻力最高可减少70％以上，减阻节能剂应用于循环水系统中，不仅能够降低管网投资造价，而且能降低循环水泵日常运行的电耗。</w:t>
      </w:r>
    </w:p>
    <w:p>
      <w:pPr>
        <w:pStyle w:val="5"/>
        <w:ind w:firstLine="560"/>
        <w:rPr>
          <w:color w:val="auto"/>
        </w:rPr>
      </w:pPr>
      <w:r>
        <w:rPr>
          <w:rFonts w:hint="eastAsia"/>
          <w:color w:val="auto"/>
        </w:rPr>
        <w:t>7.1.2.5制冷系统节能措施</w:t>
      </w:r>
    </w:p>
    <w:p>
      <w:pPr>
        <w:ind w:firstLine="560"/>
        <w:rPr>
          <w:color w:val="auto"/>
        </w:rPr>
      </w:pPr>
      <w:r>
        <w:rPr>
          <w:rFonts w:hint="eastAsia"/>
          <w:color w:val="auto"/>
        </w:rPr>
        <w:t>（1）采用节能型冷水机，通过微电脑控制实现机组冷量在40%～100%之间进行无级调节，因此机组的冷量能精确地满足建筑物冷负荷的要求，大大降低了机组的能量损耗。</w:t>
      </w:r>
    </w:p>
    <w:p>
      <w:pPr>
        <w:ind w:firstLine="560"/>
        <w:rPr>
          <w:color w:val="auto"/>
        </w:rPr>
      </w:pPr>
      <w:r>
        <w:rPr>
          <w:rFonts w:hint="eastAsia"/>
          <w:color w:val="auto"/>
        </w:rPr>
        <w:t>（2）吸吹风实行变频控制。通过对风机实行变频调控，控制新风与回风的使用比例达到合理要求，通过控制风量的变化，增加或减少车间内的换气次数。</w:t>
      </w:r>
    </w:p>
    <w:p>
      <w:pPr>
        <w:ind w:firstLine="560"/>
        <w:rPr>
          <w:color w:val="auto"/>
        </w:rPr>
      </w:pPr>
      <w:r>
        <w:rPr>
          <w:rFonts w:hint="eastAsia"/>
          <w:color w:val="auto"/>
        </w:rPr>
        <w:t>（</w:t>
      </w:r>
      <w:r>
        <w:rPr>
          <w:color w:val="auto"/>
        </w:rPr>
        <w:t>3</w:t>
      </w:r>
      <w:r>
        <w:rPr>
          <w:rFonts w:hint="eastAsia"/>
          <w:color w:val="auto"/>
        </w:rPr>
        <w:t>）空调机组节能措施</w:t>
      </w:r>
    </w:p>
    <w:p>
      <w:pPr>
        <w:ind w:firstLine="560"/>
        <w:rPr>
          <w:color w:val="auto"/>
        </w:rPr>
      </w:pPr>
      <w:r>
        <w:rPr>
          <w:rFonts w:hint="eastAsia"/>
          <w:color w:val="auto"/>
        </w:rPr>
        <w:t>1）回风热量的利用。通过设置空调机组过滤装置，以去除回风油雾和粉尘。夏季回风中含有余冷和低的焓值，可明显降低送风焓差，节约冷量，减少能耗。在冬季回风中热焓较高，尤其在螺杆挤压间和纺丝间，回风温度约在26～30℃，合理的混合回用以减少加热段的使用能耗。</w:t>
      </w:r>
    </w:p>
    <w:p>
      <w:pPr>
        <w:ind w:firstLine="560"/>
        <w:rPr>
          <w:color w:val="auto"/>
        </w:rPr>
      </w:pPr>
      <w:r>
        <w:rPr>
          <w:rFonts w:hint="eastAsia"/>
          <w:color w:val="auto"/>
        </w:rPr>
        <w:t>2）正确合理利用回风。利用回风必须做到送风系统的风量平衡，并保证10％~20％的新风混入，以改善车间工作环境，保证操作人员身心健康。</w:t>
      </w:r>
    </w:p>
    <w:p>
      <w:pPr>
        <w:ind w:firstLine="560"/>
        <w:rPr>
          <w:color w:val="auto"/>
        </w:rPr>
      </w:pPr>
      <w:r>
        <w:rPr>
          <w:rFonts w:hint="eastAsia"/>
          <w:color w:val="auto"/>
        </w:rPr>
        <w:t>3）优化送回风系统的设计，将大部分回风在用冷间采集。</w:t>
      </w:r>
    </w:p>
    <w:p>
      <w:pPr>
        <w:ind w:firstLine="560"/>
        <w:rPr>
          <w:color w:val="auto"/>
        </w:rPr>
      </w:pPr>
      <w:r>
        <w:rPr>
          <w:rFonts w:hint="eastAsia"/>
          <w:color w:val="auto"/>
        </w:rPr>
        <w:t>4）优化空调室布置。空调室布局尽量靠近用冷间，以缩短送回风管道距离减少管道摩擦阻力损失；冷冻站距空调室附近，水系统管道距离短，可减少水系统管道阻力损失和管道温升的冷量损失。</w:t>
      </w:r>
    </w:p>
    <w:p>
      <w:pPr>
        <w:ind w:firstLine="560"/>
        <w:rPr>
          <w:color w:val="auto"/>
        </w:rPr>
      </w:pPr>
      <w:r>
        <w:rPr>
          <w:rFonts w:hint="eastAsia"/>
          <w:color w:val="auto"/>
        </w:rPr>
        <w:t>5）空调机组中的回风机、环吹送风机、环境送风机、水幕喷淋泵和喷淋水泵等用电设备采用变频调速控制，根据环境风温度、湿度的变化及工艺车间温湿度的要求进行无极调速。</w:t>
      </w:r>
    </w:p>
    <w:p>
      <w:pPr>
        <w:ind w:firstLine="560"/>
        <w:rPr>
          <w:color w:val="auto"/>
        </w:rPr>
      </w:pPr>
      <w:r>
        <w:rPr>
          <w:rFonts w:hint="eastAsia"/>
          <w:color w:val="auto"/>
        </w:rPr>
        <w:t>6）加强生产运行管理节能。合理调整送风参数，送风余压尽可能设定低些，可使送风机在低频率下节能运行。露点温度的设定应根据室外气候变化适当调整，可有效节能。如：在夏季露点温度设定在上限值，在冬季露点温度可设定在下限值，运行能耗会明显降低。</w:t>
      </w:r>
    </w:p>
    <w:p>
      <w:pPr>
        <w:pStyle w:val="5"/>
        <w:ind w:firstLine="560"/>
        <w:rPr>
          <w:color w:val="auto"/>
        </w:rPr>
      </w:pPr>
      <w:r>
        <w:rPr>
          <w:rFonts w:hint="eastAsia"/>
          <w:color w:val="auto"/>
        </w:rPr>
        <w:t>7.1.2.6建筑</w:t>
      </w:r>
      <w:r>
        <w:rPr>
          <w:color w:val="auto"/>
        </w:rPr>
        <w:t>节能措施</w:t>
      </w:r>
    </w:p>
    <w:p>
      <w:pPr>
        <w:ind w:firstLine="560"/>
        <w:rPr>
          <w:color w:val="auto"/>
        </w:rPr>
      </w:pPr>
      <w:r>
        <w:rPr>
          <w:rFonts w:hint="eastAsia"/>
          <w:color w:val="auto"/>
        </w:rPr>
        <w:t>（1）外墙保温隔热改造</w:t>
      </w:r>
    </w:p>
    <w:p>
      <w:pPr>
        <w:ind w:firstLine="560"/>
        <w:rPr>
          <w:color w:val="auto"/>
        </w:rPr>
      </w:pPr>
      <w:r>
        <w:rPr>
          <w:rFonts w:hint="eastAsia"/>
          <w:color w:val="auto"/>
        </w:rPr>
        <w:t>1）外墙</w:t>
      </w:r>
      <w:r>
        <w:rPr>
          <w:color w:val="auto"/>
        </w:rPr>
        <w:t>保温技术：</w:t>
      </w:r>
      <w:r>
        <w:rPr>
          <w:rFonts w:hint="eastAsia"/>
          <w:color w:val="auto"/>
        </w:rPr>
        <w:t>在工业建筑改造工程中，外墙外保温技术与外墙内保温技术相比有明显的优势，使用同样尺寸、规格和性能的保温材料，外保温的保温效果比内保温好，构造技术更合理，节能效果更好。采用外保温技术的墙体可以提高内表面的温度，也能得到舒适的室内热环境，这对于旧工业建筑冬季采暖不足的改造来说是非常有利的，同时由于内部墙体热容量较大，室内可以蓄存更多的热量，使诸如间歇采暖或太阳辐射所造成的室内温度变化减缓，有利于室温的稳定。而在夏季，室内温度较高，而采用外保温技术能大大减少太阳辐射热的进入和室外高气温的影响，降低室内空气温度和外墙内表面温度，这对于以自然通风降温为主的厂房来说，采用外墙外保温技术是非常重要的。</w:t>
      </w:r>
    </w:p>
    <w:p>
      <w:pPr>
        <w:ind w:firstLine="560"/>
        <w:rPr>
          <w:color w:val="auto"/>
        </w:rPr>
      </w:pPr>
      <w:r>
        <w:rPr>
          <w:rFonts w:hint="eastAsia"/>
          <w:color w:val="auto"/>
        </w:rPr>
        <w:t>2）</w:t>
      </w:r>
      <w:r>
        <w:rPr>
          <w:color w:val="auto"/>
        </w:rPr>
        <w:t>外墙绿化隔热：</w:t>
      </w:r>
      <w:r>
        <w:rPr>
          <w:rFonts w:hint="eastAsia"/>
          <w:color w:val="auto"/>
        </w:rPr>
        <w:t>为了达到外墙绿化隔热的效果，旧工业建筑的外墙在向阳方向大面积被植物所遮挡。有两种方式：一种是在外墙上种植攀沿植物来覆盖墙面；另一种是在外墙的外侧种植密集型的树木，用树荫遮挡阳光。为了不影响厂房在冬季日照的要求，南向的墙体适宜种植落叶型植物，在冬季叶子会脱落，使得墙体暴露在阳光之下，吸收太阳能并向室内传递，使墙体成为太阳能集热面，节约常规的采暖能耗。</w:t>
      </w:r>
    </w:p>
    <w:p>
      <w:pPr>
        <w:ind w:firstLine="560"/>
        <w:rPr>
          <w:color w:val="auto"/>
        </w:rPr>
      </w:pPr>
      <w:r>
        <w:rPr>
          <w:rFonts w:hint="eastAsia"/>
          <w:color w:val="auto"/>
        </w:rPr>
        <w:t>（2）照明系统改造</w:t>
      </w:r>
    </w:p>
    <w:p>
      <w:pPr>
        <w:ind w:firstLine="560"/>
        <w:rPr>
          <w:color w:val="auto"/>
        </w:rPr>
      </w:pPr>
      <w:r>
        <w:rPr>
          <w:rFonts w:hint="eastAsia"/>
          <w:color w:val="auto"/>
        </w:rPr>
        <w:t>工业建筑改造中比较有效的办法主要有几种：增大采光口面积、反光板采光、光导管采光。</w:t>
      </w:r>
    </w:p>
    <w:p>
      <w:pPr>
        <w:ind w:firstLine="560"/>
        <w:rPr>
          <w:color w:val="auto"/>
        </w:rPr>
      </w:pPr>
      <w:r>
        <w:rPr>
          <w:color w:val="auto"/>
        </w:rPr>
        <w:t>1</w:t>
      </w:r>
      <w:r>
        <w:rPr>
          <w:rFonts w:hint="eastAsia"/>
          <w:color w:val="auto"/>
        </w:rPr>
        <w:t>）增大采光口面积：一般来说，增大采光口（屋顶、侧窗）面积是增加室内采光量最行之有效的办法，但是要结合改造后的功能要求合理的设计采光口的数量和大小，而且在使用屋顶采光时，要注意控制避免引发室内温度过高的问题，这种改造方法适用于进深不是特别大的旧工业建筑，对于进深大、跨度大的旧工业建筑，需要考虑加天窗或者高窗。</w:t>
      </w:r>
    </w:p>
    <w:p>
      <w:pPr>
        <w:ind w:firstLine="560"/>
        <w:rPr>
          <w:color w:val="auto"/>
        </w:rPr>
      </w:pPr>
      <w:r>
        <w:rPr>
          <w:rFonts w:hint="eastAsia"/>
          <w:color w:val="auto"/>
        </w:rPr>
        <w:t>2）反光板采光：反光板是利用光线反射的原理来调节进入室内的阳光来达到改善室内天然光环境的目的，一般被用来遮阳和将反射的光线引入到旧厂房的顶棚，以防止反光板表面的眩光对人眼的刺激反光板通常安装在眼睛高度以上，是在采光口的内部或者外部的水平或者倾斜的挡板，如果位于窗户的外部，则反光板兼有遮阳板的功能，为下面的玻璃充当挑檐的角色。不仅如此，宽大的挑檐、宽敞的窗台及浅色的地面或者屋顶，都可以充当反光板的作用。</w:t>
      </w:r>
    </w:p>
    <w:p>
      <w:pPr>
        <w:ind w:firstLine="560"/>
        <w:rPr>
          <w:color w:val="auto"/>
        </w:rPr>
      </w:pPr>
      <w:r>
        <w:rPr>
          <w:rFonts w:hint="eastAsia"/>
          <w:color w:val="auto"/>
        </w:rPr>
        <w:t>3）光导管采光：分为主动式和被动式两种，主动式光导管的聚光器采光方向总是向着太阳，最大限度的采集太阳光，但是由于此采光器工艺技术高，价格昂贵而且围护困难，在旧工业改造中很少采用。所以实际工业改造中应用较多的是被动式太阳能光导管。被动式太阳能光导管分为采光部分（采光罩、集光器）、导光部分（光导管）和散光部分（散光片、漫射器），采光罩和光导管是连接固定在一起的，安装之后不能移动。光线通过采光罩采集之后，再经过光导管的反射，最终通过散光片均匀的分散到旧工业建筑的内部。</w:t>
      </w:r>
    </w:p>
    <w:p>
      <w:pPr>
        <w:pStyle w:val="3"/>
        <w:ind w:firstLine="643"/>
        <w:rPr>
          <w:color w:val="auto"/>
        </w:rPr>
      </w:pPr>
      <w:bookmarkStart w:id="73" w:name="_Toc40625208"/>
      <w:r>
        <w:rPr>
          <w:rFonts w:hint="eastAsia"/>
          <w:color w:val="auto"/>
        </w:rPr>
        <w:t>7.2区域</w:t>
      </w:r>
      <w:r>
        <w:rPr>
          <w:color w:val="auto"/>
        </w:rPr>
        <w:t>节能管理措施</w:t>
      </w:r>
      <w:bookmarkEnd w:id="73"/>
    </w:p>
    <w:p>
      <w:pPr>
        <w:pStyle w:val="4"/>
        <w:ind w:firstLine="602"/>
        <w:rPr>
          <w:color w:val="auto"/>
        </w:rPr>
      </w:pPr>
      <w:bookmarkStart w:id="74" w:name="_Toc40625209"/>
      <w:r>
        <w:rPr>
          <w:rFonts w:hint="eastAsia"/>
          <w:color w:val="auto"/>
        </w:rPr>
        <w:t>7.2.1能源管理体系</w:t>
      </w:r>
      <w:bookmarkEnd w:id="74"/>
    </w:p>
    <w:p>
      <w:pPr>
        <w:ind w:firstLine="560"/>
        <w:rPr>
          <w:color w:val="auto"/>
        </w:rPr>
      </w:pPr>
      <w:r>
        <w:rPr>
          <w:rFonts w:hint="eastAsia"/>
          <w:color w:val="auto"/>
        </w:rPr>
        <w:t>能源管理体系是从体系的全过程出发，遵循系统管理原理，通过实施一套完整的标准、规范，在企业内建立起一个完整有效的、形成文件的能源管理体系，注重建立和实施过程的控制，使企业的活动、过程及其要素不断优化，通过例行节能监测、能源审计、能效对标、内部审核、组织能耗计量与测试、组织能量平衡统计、管理评审、自我评价、节能技改、节能考核等措施，不断提高能源管理体系持续改进的有效性，实现能源管理方针和承诺并达到预期的能源消耗或使用目标。核心内容有四个方面：</w:t>
      </w:r>
    </w:p>
    <w:p>
      <w:pPr>
        <w:pStyle w:val="50"/>
        <w:numPr>
          <w:ilvl w:val="0"/>
          <w:numId w:val="10"/>
        </w:numPr>
        <w:ind w:left="0" w:firstLine="560"/>
        <w:rPr>
          <w:color w:val="auto"/>
        </w:rPr>
      </w:pPr>
      <w:r>
        <w:rPr>
          <w:rFonts w:hint="eastAsia"/>
          <w:color w:val="auto"/>
        </w:rPr>
        <w:t>全过程控制思想，应用系统理论和过程方法，以低成本、无成本的管理措施，将组织的能源管理工作与法律法规、政策、标准及其他要求进行有机结合，针对组织用能全过程（能源采购、贮存以及使用等）和生产运营全过程（生产运营、管理运用和生活运营），对组织的能源因素进行识别、控制和管理，实现降低能源消耗、提高能源利用效率的目的。</w:t>
      </w:r>
    </w:p>
    <w:p>
      <w:pPr>
        <w:pStyle w:val="50"/>
        <w:numPr>
          <w:ilvl w:val="0"/>
          <w:numId w:val="10"/>
        </w:numPr>
        <w:ind w:left="0" w:firstLine="560"/>
        <w:rPr>
          <w:color w:val="auto"/>
        </w:rPr>
      </w:pPr>
      <w:r>
        <w:rPr>
          <w:rFonts w:hint="eastAsia"/>
          <w:color w:val="auto"/>
        </w:rPr>
        <w:t>运用PDCA理论，充分运用PDCA理论，借鉴和使用先进的节能技术、方法和节能实践，不断提高组织的能源绩效，是能源管理体系的主要要求内容之一。</w:t>
      </w:r>
    </w:p>
    <w:p>
      <w:pPr>
        <w:pStyle w:val="50"/>
        <w:numPr>
          <w:ilvl w:val="0"/>
          <w:numId w:val="10"/>
        </w:numPr>
        <w:ind w:left="0" w:firstLine="560"/>
        <w:rPr>
          <w:color w:val="auto"/>
        </w:rPr>
      </w:pPr>
      <w:r>
        <w:rPr>
          <w:rFonts w:hint="eastAsia"/>
          <w:color w:val="auto"/>
        </w:rPr>
        <w:t>充分结合能源管理的特点，将能源管理的特点充分体现在能源管理体系的各项具体要求中，努力与现行的能源管理系方法，如能源诊断等技术相结合。</w:t>
      </w:r>
    </w:p>
    <w:p>
      <w:pPr>
        <w:pStyle w:val="50"/>
        <w:numPr>
          <w:ilvl w:val="0"/>
          <w:numId w:val="10"/>
        </w:numPr>
        <w:ind w:left="0" w:firstLine="560"/>
        <w:rPr>
          <w:color w:val="auto"/>
        </w:rPr>
      </w:pPr>
      <w:r>
        <w:rPr>
          <w:rFonts w:hint="eastAsia"/>
          <w:color w:val="auto"/>
        </w:rPr>
        <w:t>充分借鉴现有的管理体系标准，遵循管理体系标准的国际惯例、发展趋势和一般要求，借鉴ISO9000、ISO14000等成熟国际管理体系标准的理念和方法，在标准构架、相关表述和要求方面与国际通行的管理模式相协调。</w:t>
      </w:r>
    </w:p>
    <w:p>
      <w:pPr>
        <w:ind w:firstLine="560"/>
        <w:rPr>
          <w:color w:val="auto"/>
        </w:rPr>
      </w:pPr>
      <w:r>
        <w:rPr>
          <w:rFonts w:hint="eastAsia"/>
          <w:color w:val="auto"/>
        </w:rPr>
        <w:t>加强能源管理体系建设是建立节能长效机制、实现“十三五”节能目标的重要抓手。开发区内重点用能单位通过建立能源管理体系，能够将现有能源管理手段进行整合、提升，并逐步形成节能工作持续改进、能源消耗持续降低、能源效率持续提高的良性机制。在企业能源成本降低的同时，也实现了企业经济效益的最大化，极大地减少了废烟气、废水等废弃物的排放量，最大限度的实现了企业的社会效益</w:t>
      </w:r>
    </w:p>
    <w:p>
      <w:pPr>
        <w:pStyle w:val="4"/>
        <w:ind w:firstLine="602"/>
        <w:rPr>
          <w:color w:val="auto"/>
        </w:rPr>
      </w:pPr>
      <w:bookmarkStart w:id="75" w:name="_Toc40625210"/>
      <w:r>
        <w:rPr>
          <w:color w:val="auto"/>
        </w:rPr>
        <w:t>7.2.2</w:t>
      </w:r>
      <w:r>
        <w:rPr>
          <w:rFonts w:hint="eastAsia"/>
          <w:color w:val="auto"/>
        </w:rPr>
        <w:t>信息化能源管理系统</w:t>
      </w:r>
      <w:bookmarkEnd w:id="75"/>
    </w:p>
    <w:p>
      <w:pPr>
        <w:ind w:firstLine="560"/>
        <w:rPr>
          <w:color w:val="auto"/>
        </w:rPr>
      </w:pPr>
      <w:r>
        <w:rPr>
          <w:rFonts w:hint="eastAsia"/>
          <w:color w:val="auto"/>
        </w:rPr>
        <w:t>企业信息化能源管理系统是依托计算机网络技术、通信技术、计量控制技术等信息化技术，实现能源管理、能源调度、能源计量的数字化、网络化和空间可视化，完善能源基础数据体系，为重点能耗企业建立一套科学完善的能源利用监督、管理、评价体系，创新能源管理模式，系统的总目标是：采用智能技术组建数据库、构建智能化的能源管理信息系统，实现对重点能耗企业能源利用状况进行实时、准确的动态监管，以现代技术手段加强节能管理，加大节能监管力度，提企业节能工作的管理水平。</w:t>
      </w:r>
    </w:p>
    <w:p>
      <w:pPr>
        <w:ind w:firstLine="560"/>
        <w:rPr>
          <w:color w:val="auto"/>
        </w:rPr>
      </w:pPr>
      <w:r>
        <w:rPr>
          <w:rFonts w:hint="eastAsia"/>
          <w:color w:val="auto"/>
        </w:rPr>
        <w:t>通过该系统的实施，能够达到以下几个目的：</w:t>
      </w:r>
    </w:p>
    <w:p>
      <w:pPr>
        <w:ind w:firstLine="560"/>
        <w:rPr>
          <w:color w:val="auto"/>
        </w:rPr>
      </w:pPr>
      <w:r>
        <w:rPr>
          <w:rFonts w:hint="eastAsia"/>
          <w:color w:val="auto"/>
        </w:rPr>
        <w:t>（1）实现两个层次的服务，即一方面为企业内部管理提供直观、简明、快捷的数据信息查询和决策支持服务；另一方面是为相关管理部门实现企业能源消耗情况的动态数据和信息共享服务。</w:t>
      </w:r>
    </w:p>
    <w:p>
      <w:pPr>
        <w:ind w:firstLine="560"/>
        <w:rPr>
          <w:color w:val="auto"/>
        </w:rPr>
      </w:pPr>
      <w:r>
        <w:rPr>
          <w:rFonts w:hint="eastAsia"/>
          <w:color w:val="auto"/>
        </w:rPr>
        <w:t>（2）系统的运行能够充分利用现代网络技术和数据库，通过与企业生产网络平台的对接，实现信息快速传递、共享、管理和应用。</w:t>
      </w:r>
    </w:p>
    <w:p>
      <w:pPr>
        <w:ind w:firstLine="560"/>
        <w:rPr>
          <w:color w:val="auto"/>
        </w:rPr>
      </w:pPr>
      <w:r>
        <w:rPr>
          <w:rFonts w:hint="eastAsia"/>
          <w:color w:val="auto"/>
        </w:rPr>
        <w:t>（3）利用数学模型、预测和预警、数据库和数据挖掘等理论方法和技术对有关数据进行深入的加工处理及分析，以提高监控数据的应用水平。</w:t>
      </w:r>
    </w:p>
    <w:p>
      <w:pPr>
        <w:ind w:firstLine="560"/>
        <w:rPr>
          <w:color w:val="auto"/>
        </w:rPr>
      </w:pPr>
      <w:r>
        <w:rPr>
          <w:rFonts w:hint="eastAsia"/>
          <w:color w:val="auto"/>
        </w:rPr>
        <w:t>企业能源管理系统建设主要内容有：</w:t>
      </w:r>
    </w:p>
    <w:p>
      <w:pPr>
        <w:ind w:firstLine="560"/>
        <w:rPr>
          <w:color w:val="auto"/>
        </w:rPr>
      </w:pPr>
      <w:r>
        <w:rPr>
          <w:rFonts w:hint="eastAsia"/>
          <w:color w:val="auto"/>
        </w:rPr>
        <w:t>（1）基础数据管理。开展基础能源数据、能量数据的计算，为企业开展能源分析等能源管理工作提供数据基础。</w:t>
      </w:r>
    </w:p>
    <w:p>
      <w:pPr>
        <w:ind w:firstLine="560"/>
        <w:rPr>
          <w:color w:val="auto"/>
        </w:rPr>
      </w:pPr>
      <w:r>
        <w:rPr>
          <w:rFonts w:hint="eastAsia"/>
          <w:color w:val="auto"/>
        </w:rPr>
        <w:t>（2）能源监控管理。通过对生产现场能源数据和能源设备进行监测，并对采集的数据进行计算、统计，构建能源监控系统。</w:t>
      </w:r>
    </w:p>
    <w:p>
      <w:pPr>
        <w:ind w:firstLine="560"/>
        <w:rPr>
          <w:color w:val="auto"/>
        </w:rPr>
      </w:pPr>
      <w:r>
        <w:rPr>
          <w:rFonts w:hint="eastAsia"/>
          <w:color w:val="auto"/>
        </w:rPr>
        <w:t>（3）能源计划统计。通过准确、及时、系统地统计生产的能源购进、贮存、加工、转换、输送分配、使用消耗等环节的基础数据，如实反映生产过程能源系统流程的数量关系和平衡状况，形成能源形成、能源使用情况及变化状况，实现生产过程中各环节能源计量统计信息的汇总和计算分析。</w:t>
      </w:r>
    </w:p>
    <w:p>
      <w:pPr>
        <w:ind w:firstLine="560"/>
        <w:rPr>
          <w:color w:val="auto"/>
        </w:rPr>
      </w:pPr>
      <w:r>
        <w:rPr>
          <w:rFonts w:hint="eastAsia"/>
          <w:color w:val="auto"/>
        </w:rPr>
        <w:t>（4）用能对象分析。针对生产流程中的生产设备、装置或工序，通过能量数据，计算用能对象一定周期内的用能指标参数，对用能对象进行深层用能分析，为生产关键装置节能措施提供数据支持。</w:t>
      </w:r>
    </w:p>
    <w:p>
      <w:pPr>
        <w:ind w:firstLine="560"/>
        <w:rPr>
          <w:color w:val="auto"/>
        </w:rPr>
      </w:pPr>
      <w:r>
        <w:rPr>
          <w:rFonts w:hint="eastAsia"/>
          <w:color w:val="auto"/>
        </w:rPr>
        <w:t>（5）设备能效分析。针对重点能源设备进行运行管理，分析生产过程的电力设备、工艺设备、批量设备等特点，建立设备能效模型，输入参数进行计算，得出对象的输出参数和运行状态。</w:t>
      </w:r>
    </w:p>
    <w:p>
      <w:pPr>
        <w:pStyle w:val="4"/>
        <w:ind w:firstLine="602"/>
        <w:rPr>
          <w:color w:val="auto"/>
        </w:rPr>
      </w:pPr>
      <w:bookmarkStart w:id="76" w:name="_Toc40625211"/>
      <w:r>
        <w:rPr>
          <w:color w:val="auto"/>
        </w:rPr>
        <w:t>7.2.3</w:t>
      </w:r>
      <w:r>
        <w:rPr>
          <w:rFonts w:hint="eastAsia"/>
          <w:color w:val="auto"/>
        </w:rPr>
        <w:t>政府节能监管措施</w:t>
      </w:r>
      <w:bookmarkEnd w:id="76"/>
    </w:p>
    <w:p>
      <w:pPr>
        <w:ind w:firstLine="560"/>
        <w:rPr>
          <w:color w:val="auto"/>
        </w:rPr>
      </w:pPr>
      <w:r>
        <w:rPr>
          <w:rFonts w:hint="eastAsia"/>
          <w:color w:val="auto"/>
        </w:rPr>
        <w:t>以咸宁</w:t>
      </w:r>
      <w:r>
        <w:rPr>
          <w:color w:val="auto"/>
        </w:rPr>
        <w:t>高新区管委会</w:t>
      </w:r>
      <w:r>
        <w:rPr>
          <w:rFonts w:hint="eastAsia"/>
          <w:color w:val="auto"/>
        </w:rPr>
        <w:t>政务服务局、</w:t>
      </w:r>
      <w:r>
        <w:rPr>
          <w:color w:val="auto"/>
        </w:rPr>
        <w:t>科</w:t>
      </w:r>
      <w:r>
        <w:rPr>
          <w:rFonts w:hint="eastAsia"/>
          <w:color w:val="auto"/>
        </w:rPr>
        <w:t>经局等</w:t>
      </w:r>
      <w:r>
        <w:rPr>
          <w:color w:val="auto"/>
        </w:rPr>
        <w:t>部门为</w:t>
      </w:r>
      <w:r>
        <w:rPr>
          <w:rFonts w:hint="eastAsia"/>
          <w:color w:val="auto"/>
        </w:rPr>
        <w:t>依托</w:t>
      </w:r>
      <w:r>
        <w:rPr>
          <w:color w:val="auto"/>
        </w:rPr>
        <w:t>，</w:t>
      </w:r>
      <w:r>
        <w:rPr>
          <w:rFonts w:hint="eastAsia"/>
          <w:color w:val="auto"/>
        </w:rPr>
        <w:t>推进</w:t>
      </w:r>
      <w:r>
        <w:rPr>
          <w:color w:val="auto"/>
        </w:rPr>
        <w:t>以下</w:t>
      </w:r>
      <w:r>
        <w:rPr>
          <w:rFonts w:hint="eastAsia"/>
          <w:color w:val="auto"/>
        </w:rPr>
        <w:t>几方面的</w:t>
      </w:r>
      <w:r>
        <w:rPr>
          <w:color w:val="auto"/>
        </w:rPr>
        <w:t>管理与服务：</w:t>
      </w:r>
    </w:p>
    <w:p>
      <w:pPr>
        <w:ind w:firstLine="560"/>
        <w:rPr>
          <w:color w:val="auto"/>
        </w:rPr>
      </w:pPr>
      <w:r>
        <w:rPr>
          <w:rFonts w:hint="eastAsia"/>
          <w:color w:val="auto"/>
        </w:rPr>
        <w:t>1、完善区域负面清单，实施能评分类管理</w:t>
      </w:r>
    </w:p>
    <w:p>
      <w:pPr>
        <w:ind w:firstLine="560"/>
        <w:rPr>
          <w:color w:val="auto"/>
        </w:rPr>
      </w:pPr>
      <w:r>
        <w:rPr>
          <w:rFonts w:hint="eastAsia"/>
          <w:color w:val="auto"/>
        </w:rPr>
        <w:t>将评估区域内的项目分为两类，一般项目实行承诺备案制，投资主体应于项目开工前向高新区管委会提出节能备案申请，提交备案资料并作出具有法律效力的书面承诺，承诺内容将作为政府后续监管的重要依据；区内高耗能行业、耗煤项目和节能审查重点项目，需按照相关规定，开展项目节能审查工作。</w:t>
      </w:r>
    </w:p>
    <w:p>
      <w:pPr>
        <w:ind w:firstLine="560"/>
        <w:rPr>
          <w:color w:val="auto"/>
        </w:rPr>
      </w:pPr>
      <w:r>
        <w:rPr>
          <w:rFonts w:hint="eastAsia"/>
          <w:color w:val="auto"/>
        </w:rPr>
        <w:t>2、优化审批服务工作，加大项目监管力度</w:t>
      </w:r>
    </w:p>
    <w:p>
      <w:pPr>
        <w:ind w:firstLine="560"/>
        <w:rPr>
          <w:color w:val="auto"/>
        </w:rPr>
      </w:pPr>
      <w:r>
        <w:rPr>
          <w:rFonts w:hint="eastAsia"/>
          <w:color w:val="auto"/>
        </w:rPr>
        <w:t>按照“简化审批、放管结合”的原则，减少审批环节，完善服务能源企业工作机制。加强对项目建成投产前、投产运行后的全过程监管，审批环节中注重规划依托、产业政策、手续齐全、程序到位等方面，运行环节中则侧重功能发挥、服务社会、公平运行等方面，推进“事中事后监管”制度化、规范化、程序化，确保各项节能措施落实到位。</w:t>
      </w:r>
    </w:p>
    <w:p>
      <w:pPr>
        <w:ind w:firstLine="560"/>
        <w:rPr>
          <w:color w:val="auto"/>
        </w:rPr>
      </w:pPr>
      <w:r>
        <w:rPr>
          <w:rFonts w:hint="eastAsia"/>
          <w:color w:val="auto"/>
        </w:rPr>
        <w:t>3、落实节能竣工验收，严格节能执法监察</w:t>
      </w:r>
    </w:p>
    <w:p>
      <w:pPr>
        <w:ind w:firstLine="560"/>
        <w:rPr>
          <w:color w:val="auto"/>
        </w:rPr>
      </w:pPr>
      <w:r>
        <w:rPr>
          <w:rFonts w:hint="eastAsia"/>
          <w:color w:val="auto"/>
        </w:rPr>
        <w:t>项目建成投产前，区域管理机构对照项目备案承诺内容或项目节能评审意见进行节能竣工验收，就项目涉及的产业政策、生产工艺、主要用能设备选型、节能措施等内容的一致性进行核实，验收通过后方可投产运行。未通过节能竣工验收的，责令企业进行整改，完成整改并通过验收后，方可投产运行。在项目投产稳定运行后，不定期对项目实际能耗水平等进行节能监察，纠正违法或不合理用能行为，促进依法用能、合理用能。</w:t>
      </w:r>
    </w:p>
    <w:p>
      <w:pPr>
        <w:ind w:firstLine="560"/>
        <w:rPr>
          <w:color w:val="auto"/>
        </w:rPr>
      </w:pPr>
      <w:r>
        <w:rPr>
          <w:rFonts w:hint="eastAsia"/>
          <w:color w:val="auto"/>
        </w:rPr>
        <w:t>4、建立用能预警监测制度，实施能耗奖惩措施</w:t>
      </w:r>
    </w:p>
    <w:p>
      <w:pPr>
        <w:ind w:firstLine="560"/>
        <w:rPr>
          <w:color w:val="auto"/>
        </w:rPr>
      </w:pPr>
      <w:r>
        <w:rPr>
          <w:rFonts w:hint="eastAsia"/>
          <w:color w:val="auto"/>
        </w:rPr>
        <w:t>对评估区域内重点能源消费品种的消费、流通以及重点用能企业的节能降耗工作实施监测，并在此基础上开展预警预测分析，及时掌握并分析反映本区能源供应和消费状况，为开展节能降耗提供数据基础。同时，建立企业用能承诺信用制度，制定能耗奖惩措施和能效领跑者工作机制，对完成节能降耗指标有突出贡献的单位进行财政奖励，对未完成节能降耗指标的单位进行通报、罚款。</w:t>
      </w:r>
    </w:p>
    <w:p>
      <w:pPr>
        <w:ind w:firstLine="560"/>
        <w:rPr>
          <w:color w:val="auto"/>
        </w:rPr>
      </w:pPr>
      <w:r>
        <w:rPr>
          <w:rFonts w:hint="eastAsia"/>
          <w:color w:val="auto"/>
        </w:rPr>
        <w:t>5、优化能源结构，实现清洁低碳发展</w:t>
      </w:r>
    </w:p>
    <w:p>
      <w:pPr>
        <w:ind w:firstLine="560"/>
        <w:rPr>
          <w:color w:val="auto"/>
        </w:rPr>
      </w:pPr>
      <w:r>
        <w:rPr>
          <w:rFonts w:hint="eastAsia"/>
          <w:color w:val="auto"/>
        </w:rPr>
        <w:t>深入实施“中国制造2025”,深化制造业与互联网融合发展，促进制造业高端化、智能化、绿色化、服务化；出台相关计划和实施方案，不断强化节能环保标准约束，严格行业规范、准入管理和节能审查，实现评估区域内空间布局合理化、产业结构最优化、产业链接循环化、资源利用高效化、污染治理集中化、基础设施绿色化、运行管理规范化；加快对现有产业的循环化改造升级，优化能源结构，实现清洁低碳发展</w:t>
      </w:r>
    </w:p>
    <w:p>
      <w:pPr>
        <w:pStyle w:val="3"/>
        <w:ind w:firstLine="643"/>
        <w:rPr>
          <w:color w:val="auto"/>
        </w:rPr>
      </w:pPr>
      <w:bookmarkStart w:id="77" w:name="_Toc40625212"/>
      <w:r>
        <w:rPr>
          <w:color w:val="auto"/>
        </w:rPr>
        <w:t>7.3</w:t>
      </w:r>
      <w:r>
        <w:rPr>
          <w:rFonts w:hint="eastAsia"/>
          <w:color w:val="auto"/>
        </w:rPr>
        <w:t>区域</w:t>
      </w:r>
      <w:r>
        <w:rPr>
          <w:color w:val="auto"/>
        </w:rPr>
        <w:t>重点节能工程</w:t>
      </w:r>
      <w:r>
        <w:rPr>
          <w:rFonts w:hint="eastAsia"/>
          <w:color w:val="auto"/>
        </w:rPr>
        <w:t>与用能结构优化</w:t>
      </w:r>
      <w:bookmarkEnd w:id="77"/>
    </w:p>
    <w:p>
      <w:pPr>
        <w:ind w:firstLine="560"/>
        <w:rPr>
          <w:color w:val="auto"/>
        </w:rPr>
      </w:pPr>
      <w:r>
        <w:rPr>
          <w:rFonts w:hint="eastAsia"/>
          <w:color w:val="auto"/>
        </w:rPr>
        <w:t>根据咸宁高新区的能源供应、消费情况，提出建议完善的区域节能工程与区域用能结构优化的措施，便于固定资产投资项目用能方案的合理选择。</w:t>
      </w:r>
    </w:p>
    <w:p>
      <w:pPr>
        <w:pStyle w:val="4"/>
        <w:ind w:firstLine="602"/>
        <w:rPr>
          <w:color w:val="auto"/>
        </w:rPr>
      </w:pPr>
      <w:bookmarkStart w:id="78" w:name="_Toc40625213"/>
      <w:r>
        <w:rPr>
          <w:rFonts w:hint="eastAsia"/>
          <w:color w:val="auto"/>
        </w:rPr>
        <w:t>7</w:t>
      </w:r>
      <w:r>
        <w:rPr>
          <w:color w:val="auto"/>
        </w:rPr>
        <w:t>.3.1</w:t>
      </w:r>
      <w:r>
        <w:rPr>
          <w:rFonts w:hint="eastAsia"/>
          <w:color w:val="auto"/>
        </w:rPr>
        <w:t>热电</w:t>
      </w:r>
      <w:r>
        <w:rPr>
          <w:color w:val="auto"/>
        </w:rPr>
        <w:t>联</w:t>
      </w:r>
      <w:r>
        <w:rPr>
          <w:rFonts w:hint="eastAsia"/>
          <w:color w:val="auto"/>
        </w:rPr>
        <w:t>供及热网</w:t>
      </w:r>
      <w:r>
        <w:rPr>
          <w:color w:val="auto"/>
        </w:rPr>
        <w:t>工程</w:t>
      </w:r>
      <w:bookmarkEnd w:id="78"/>
    </w:p>
    <w:p>
      <w:pPr>
        <w:tabs>
          <w:tab w:val="left" w:pos="1356"/>
        </w:tabs>
        <w:ind w:firstLine="560"/>
        <w:rPr>
          <w:color w:val="auto"/>
        </w:rPr>
      </w:pPr>
      <w:r>
        <w:rPr>
          <w:rFonts w:hint="eastAsia"/>
          <w:color w:val="auto"/>
        </w:rPr>
        <w:t>热电联产热源点生产的电力可就地消纳，一定程度上满足开发区工业企业的用电需求，服务于高新区的发展。目前，咸宁</w:t>
      </w:r>
      <w:r>
        <w:rPr>
          <w:color w:val="auto"/>
        </w:rPr>
        <w:t>高新</w:t>
      </w:r>
      <w:r>
        <w:rPr>
          <w:rFonts w:hint="eastAsia"/>
          <w:color w:val="auto"/>
        </w:rPr>
        <w:t>区内没有电厂，电力供应严重依赖外网供给，规划热电联产可增强本地电力供应能力以及可靠性。更为</w:t>
      </w:r>
      <w:r>
        <w:rPr>
          <w:color w:val="auto"/>
        </w:rPr>
        <w:t>重要的是，可以有效</w:t>
      </w:r>
      <w:r>
        <w:rPr>
          <w:rFonts w:hint="eastAsia"/>
          <w:color w:val="auto"/>
        </w:rPr>
        <w:t>淘汰现有分散供热锅炉，提供</w:t>
      </w:r>
      <w:r>
        <w:rPr>
          <w:color w:val="auto"/>
        </w:rPr>
        <w:t>区域用能效率，并使</w:t>
      </w:r>
      <w:r>
        <w:rPr>
          <w:rFonts w:hint="eastAsia"/>
          <w:color w:val="auto"/>
        </w:rPr>
        <w:t>用热</w:t>
      </w:r>
      <w:r>
        <w:rPr>
          <w:color w:val="auto"/>
        </w:rPr>
        <w:t>企业</w:t>
      </w:r>
      <w:r>
        <w:rPr>
          <w:rFonts w:hint="eastAsia"/>
          <w:color w:val="auto"/>
        </w:rPr>
        <w:t>用热</w:t>
      </w:r>
      <w:r>
        <w:rPr>
          <w:color w:val="auto"/>
        </w:rPr>
        <w:t>成本</w:t>
      </w:r>
      <w:r>
        <w:rPr>
          <w:rFonts w:hint="eastAsia"/>
          <w:color w:val="auto"/>
        </w:rPr>
        <w:t>更</w:t>
      </w:r>
      <w:r>
        <w:rPr>
          <w:color w:val="auto"/>
        </w:rPr>
        <w:t>低，用热灵活有保障</w:t>
      </w:r>
      <w:r>
        <w:rPr>
          <w:rFonts w:hint="eastAsia"/>
          <w:color w:val="auto"/>
        </w:rPr>
        <w:t>。</w:t>
      </w:r>
    </w:p>
    <w:p>
      <w:pPr>
        <w:ind w:firstLine="560"/>
        <w:rPr>
          <w:color w:val="auto"/>
        </w:rPr>
      </w:pPr>
      <w:r>
        <w:rPr>
          <w:rFonts w:hint="eastAsia"/>
          <w:color w:val="auto"/>
        </w:rPr>
        <w:t>因此</w:t>
      </w:r>
      <w:r>
        <w:rPr>
          <w:color w:val="auto"/>
        </w:rPr>
        <w:t>，</w:t>
      </w:r>
      <w:r>
        <w:rPr>
          <w:rFonts w:hint="eastAsia"/>
          <w:color w:val="auto"/>
        </w:rPr>
        <w:t>应加快湖北环峰能源科技有限公司</w:t>
      </w:r>
      <w:r>
        <w:rPr>
          <w:color w:val="auto"/>
        </w:rPr>
        <w:t>热电</w:t>
      </w:r>
      <w:r>
        <w:rPr>
          <w:rFonts w:hint="eastAsia"/>
          <w:color w:val="auto"/>
        </w:rPr>
        <w:t>联供一期工程项目</w:t>
      </w:r>
      <w:r>
        <w:rPr>
          <w:color w:val="auto"/>
        </w:rPr>
        <w:t>建设，推动远期热力站点及管网建设，</w:t>
      </w:r>
      <w:r>
        <w:rPr>
          <w:rFonts w:hint="eastAsia"/>
          <w:color w:val="auto"/>
        </w:rPr>
        <w:t>以满足区内热能需求量的增长。近期可</w:t>
      </w:r>
      <w:r>
        <w:rPr>
          <w:color w:val="auto"/>
        </w:rPr>
        <w:t>从站点</w:t>
      </w:r>
      <w:r>
        <w:rPr>
          <w:rFonts w:hint="eastAsia"/>
          <w:color w:val="auto"/>
        </w:rPr>
        <w:t>引出三条热力管，北向线路沿龟山路东侧至二期横二路，横穿道路沿横二路北侧至永安东路，沿永安东路西侧至金士达；南向线路沿龟山路东侧至二期官埠大道，架空过河后沿龟山路东侧至旗鼓大道，再沿旗鼓大道西侧至红牛；第三条专线接至热力站对面奥瑞金。远期管网向工业园区东南部延伸，供园区内工业企业热负荷需求，并向西南方向温泉城区延伸供应居民</w:t>
      </w:r>
      <w:r>
        <w:rPr>
          <w:color w:val="auto"/>
        </w:rPr>
        <w:t>及</w:t>
      </w:r>
      <w:r>
        <w:rPr>
          <w:rFonts w:hint="eastAsia"/>
          <w:color w:val="auto"/>
        </w:rPr>
        <w:t>相关楼宇</w:t>
      </w:r>
      <w:r>
        <w:rPr>
          <w:color w:val="auto"/>
        </w:rPr>
        <w:t>。</w:t>
      </w:r>
    </w:p>
    <w:p>
      <w:pPr>
        <w:spacing w:after="190" w:afterLines="50"/>
        <w:ind w:firstLine="560"/>
        <w:rPr>
          <w:color w:val="auto"/>
        </w:rPr>
      </w:pPr>
      <w:r>
        <w:rPr>
          <w:rFonts w:hint="eastAsia"/>
          <w:color w:val="auto"/>
        </w:rPr>
        <w:t>该项目</w:t>
      </w:r>
      <w:r>
        <w:rPr>
          <w:color w:val="auto"/>
        </w:rPr>
        <w:t>建设地点及管网规划如下图所示：</w:t>
      </w:r>
    </w:p>
    <w:p>
      <w:pPr>
        <w:keepNext/>
        <w:ind w:firstLine="0" w:firstLineChars="0"/>
        <w:jc w:val="center"/>
        <w:rPr>
          <w:color w:val="auto"/>
        </w:rPr>
      </w:pPr>
      <w:r>
        <w:rPr>
          <w:color w:val="auto"/>
          <w:kern w:val="0"/>
          <w:szCs w:val="28"/>
        </w:rPr>
        <w:drawing>
          <wp:inline distT="0" distB="0" distL="0" distR="0">
            <wp:extent cx="5113020" cy="5563870"/>
            <wp:effectExtent l="0" t="0" r="0" b="0"/>
            <wp:docPr id="13" name="图片 13" descr="ac7a74e740db10c250b9bbff956a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c7a74e740db10c250b9bbff956ae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21964" cy="5573693"/>
                    </a:xfrm>
                    <a:prstGeom prst="rect">
                      <a:avLst/>
                    </a:prstGeom>
                    <a:noFill/>
                    <a:ln>
                      <a:noFill/>
                    </a:ln>
                  </pic:spPr>
                </pic:pic>
              </a:graphicData>
            </a:graphic>
          </wp:inline>
        </w:drawing>
      </w:r>
    </w:p>
    <w:p>
      <w:pPr>
        <w:pStyle w:val="9"/>
        <w:rPr>
          <w:color w:val="auto"/>
        </w:rPr>
      </w:pPr>
      <w:r>
        <w:rPr>
          <w:rFonts w:hint="eastAsia"/>
          <w:color w:val="auto"/>
        </w:rPr>
        <w:t xml:space="preserve">图7- </w:t>
      </w:r>
      <w:r>
        <w:rPr>
          <w:color w:val="auto"/>
        </w:rPr>
        <w:fldChar w:fldCharType="begin"/>
      </w:r>
      <w:r>
        <w:rPr>
          <w:color w:val="auto"/>
        </w:rPr>
        <w:instrText xml:space="preserve"> </w:instrText>
      </w:r>
      <w:r>
        <w:rPr>
          <w:rFonts w:hint="eastAsia"/>
          <w:color w:val="auto"/>
        </w:rPr>
        <w:instrText xml:space="preserve">SEQ 图7-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高新区热电联供及热网工程规划</w:t>
      </w:r>
    </w:p>
    <w:p>
      <w:pPr>
        <w:ind w:firstLine="560"/>
        <w:rPr>
          <w:color w:val="auto"/>
        </w:rPr>
      </w:pPr>
      <w:r>
        <w:rPr>
          <w:rFonts w:hint="eastAsia"/>
          <w:color w:val="auto"/>
        </w:rPr>
        <w:t>根据相关</w:t>
      </w:r>
      <w:r>
        <w:rPr>
          <w:color w:val="auto"/>
        </w:rPr>
        <w:t>规划，</w:t>
      </w:r>
      <w:r>
        <w:rPr>
          <w:rFonts w:hint="eastAsia"/>
          <w:color w:val="auto"/>
        </w:rPr>
        <w:t>高新区未来规划再新建3处热力设施并完善园区热力管网设施，完成区内主管网110公里、支管网220公里的配套建设，届时其产热能力将会进一步增加，全面覆盖高新区内工业级生活用热需求。</w:t>
      </w:r>
    </w:p>
    <w:p>
      <w:pPr>
        <w:pStyle w:val="4"/>
        <w:ind w:firstLine="602"/>
        <w:rPr>
          <w:color w:val="auto"/>
        </w:rPr>
      </w:pPr>
      <w:bookmarkStart w:id="79" w:name="_Toc40625214"/>
      <w:r>
        <w:rPr>
          <w:rFonts w:hint="eastAsia"/>
          <w:color w:val="auto"/>
        </w:rPr>
        <w:t>7.3.2分布式光伏和智能微电网工程</w:t>
      </w:r>
      <w:bookmarkEnd w:id="79"/>
    </w:p>
    <w:p>
      <w:pPr>
        <w:ind w:firstLine="560"/>
        <w:rPr>
          <w:color w:val="auto"/>
        </w:rPr>
      </w:pPr>
      <w:r>
        <w:rPr>
          <w:rFonts w:hint="eastAsia"/>
          <w:color w:val="auto"/>
        </w:rPr>
        <w:t>目前，咸宁南玻已采用多晶硅光伏组件作为发电器件将太阳辐射能量转换为直流电能，所发出直流电能通过并网光伏逆变器逆变为符合要求的市电交流电，并入咸宁南玻工业园区的低压供电端，满足生产负载用电的需求。该项目的光伏组件安装位置利用厂房屋顶、车棚及部分厂区空地。总规模为11020.8kW，总投资10711.40万元人民币，年均发电约958.8万kW</w:t>
      </w:r>
      <w:r>
        <w:rPr>
          <w:color w:val="auto"/>
        </w:rPr>
        <w:t>·</w:t>
      </w:r>
      <w:r>
        <w:rPr>
          <w:rFonts w:hint="eastAsia"/>
          <w:color w:val="auto"/>
        </w:rPr>
        <w:t>h，有效降低</w:t>
      </w:r>
      <w:r>
        <w:rPr>
          <w:color w:val="auto"/>
        </w:rPr>
        <w:t>外部</w:t>
      </w:r>
      <w:r>
        <w:rPr>
          <w:rFonts w:hint="eastAsia"/>
          <w:color w:val="auto"/>
        </w:rPr>
        <w:t>供入</w:t>
      </w:r>
      <w:r>
        <w:rPr>
          <w:color w:val="auto"/>
        </w:rPr>
        <w:t>电力</w:t>
      </w:r>
      <w:r>
        <w:rPr>
          <w:rFonts w:hint="eastAsia"/>
          <w:color w:val="auto"/>
        </w:rPr>
        <w:t>的</w:t>
      </w:r>
      <w:r>
        <w:rPr>
          <w:color w:val="auto"/>
        </w:rPr>
        <w:t>消耗</w:t>
      </w:r>
      <w:r>
        <w:rPr>
          <w:rFonts w:hint="eastAsia"/>
          <w:color w:val="auto"/>
        </w:rPr>
        <w:t>，</w:t>
      </w:r>
      <w:r>
        <w:rPr>
          <w:color w:val="auto"/>
        </w:rPr>
        <w:t>节能效果显著。</w:t>
      </w:r>
    </w:p>
    <w:p>
      <w:pPr>
        <w:ind w:firstLine="560"/>
        <w:rPr>
          <w:color w:val="auto"/>
        </w:rPr>
      </w:pPr>
      <w:r>
        <w:rPr>
          <w:rFonts w:hint="eastAsia"/>
          <w:color w:val="auto"/>
        </w:rPr>
        <w:t>咸宁高新区应鼓励按照“自发自用、余量上网”的方式，建设屋顶分布式光伏发电系统。以工业企业为重点，推动规模化投资光伏发电建设试点，建立有效的光伏发电经营模式；优先在工业厂房以及商业综合体、专业市场等建筑屋顶建设规模化的分布式光伏发电系统；建筑设计和旧建筑改造中统筹考虑光伏发电应用，建设项目综合能耗超过5000吨标准煤或新建单体屋顶面积达3000平方米以上的工商业和公共建筑，需按照光伏建筑一体化要求进行设计和建设；积极发展和应用融合先进储能技术、信息技术的微电网和智能电网技术，提高电网系统接纳光伏发电的能力。</w:t>
      </w:r>
    </w:p>
    <w:p>
      <w:pPr>
        <w:ind w:firstLine="560"/>
        <w:rPr>
          <w:color w:val="auto"/>
        </w:rPr>
      </w:pPr>
    </w:p>
    <w:p>
      <w:pPr>
        <w:ind w:firstLine="560"/>
        <w:rPr>
          <w:color w:val="auto"/>
        </w:rPr>
        <w:sectPr>
          <w:pgSz w:w="11906" w:h="16838"/>
          <w:pgMar w:top="1440" w:right="1800" w:bottom="1440" w:left="1800" w:header="850" w:footer="992" w:gutter="0"/>
          <w:cols w:space="425" w:num="1"/>
          <w:docGrid w:type="lines" w:linePitch="381" w:charSpace="0"/>
        </w:sectPr>
      </w:pPr>
    </w:p>
    <w:p>
      <w:pPr>
        <w:pStyle w:val="2"/>
        <w:rPr>
          <w:color w:val="auto"/>
        </w:rPr>
      </w:pPr>
      <w:bookmarkStart w:id="80" w:name="_Toc40625215"/>
      <w:r>
        <w:rPr>
          <w:rFonts w:hint="eastAsia"/>
          <w:color w:val="auto"/>
        </w:rPr>
        <w:t>结论</w:t>
      </w:r>
      <w:r>
        <w:rPr>
          <w:color w:val="auto"/>
        </w:rPr>
        <w:t>与建议</w:t>
      </w:r>
      <w:bookmarkEnd w:id="80"/>
    </w:p>
    <w:p>
      <w:pPr>
        <w:pStyle w:val="3"/>
        <w:ind w:firstLine="643"/>
        <w:rPr>
          <w:color w:val="auto"/>
        </w:rPr>
      </w:pPr>
      <w:bookmarkStart w:id="81" w:name="_Toc40625216"/>
      <w:r>
        <w:rPr>
          <w:rFonts w:hint="eastAsia"/>
          <w:color w:val="auto"/>
        </w:rPr>
        <w:t>8.</w:t>
      </w:r>
      <w:r>
        <w:rPr>
          <w:color w:val="auto"/>
        </w:rPr>
        <w:t>1</w:t>
      </w:r>
      <w:r>
        <w:rPr>
          <w:rFonts w:hint="eastAsia"/>
          <w:color w:val="auto"/>
        </w:rPr>
        <w:t>结论</w:t>
      </w:r>
      <w:bookmarkEnd w:id="81"/>
    </w:p>
    <w:p>
      <w:pPr>
        <w:ind w:firstLine="560"/>
        <w:rPr>
          <w:color w:val="auto"/>
        </w:rPr>
      </w:pPr>
      <w:r>
        <w:rPr>
          <w:rFonts w:hint="eastAsia"/>
          <w:color w:val="auto"/>
        </w:rPr>
        <w:t>通过开展咸宁国家高新技术产业开发区区域节能评价工作，重点分析区域用能现状，提出到202</w:t>
      </w:r>
      <w:r>
        <w:rPr>
          <w:color w:val="auto"/>
        </w:rPr>
        <w:t>2</w:t>
      </w:r>
      <w:r>
        <w:rPr>
          <w:rFonts w:hint="eastAsia"/>
          <w:color w:val="auto"/>
        </w:rPr>
        <w:t>年本区域工业</w:t>
      </w:r>
      <w:r>
        <w:rPr>
          <w:color w:val="auto"/>
        </w:rPr>
        <w:t>企业</w:t>
      </w:r>
      <w:r>
        <w:rPr>
          <w:rFonts w:hint="eastAsia"/>
          <w:color w:val="auto"/>
        </w:rPr>
        <w:t>能源消费总量及单位工业产值综合能耗“双控”目标，明确与本区域产业规划相适应的各项节能措施和能效标准，编制区域用能企业负面清单，以审查通过的区域节能报告取代负面清单以外的项目节能评价文件，达到简化行政审批手续、服务企业和落实节能降耗目标任务的目的。</w:t>
      </w:r>
    </w:p>
    <w:p>
      <w:pPr>
        <w:ind w:firstLine="560"/>
        <w:rPr>
          <w:color w:val="auto"/>
        </w:rPr>
      </w:pPr>
      <w:r>
        <w:rPr>
          <w:rFonts w:hint="eastAsia"/>
          <w:color w:val="auto"/>
        </w:rPr>
        <w:t>咸宁国家高新技术产业开发区区域能评分析结论如下：</w:t>
      </w:r>
    </w:p>
    <w:p>
      <w:pPr>
        <w:ind w:firstLine="560"/>
        <w:rPr>
          <w:color w:val="auto"/>
        </w:rPr>
      </w:pPr>
      <w:r>
        <w:rPr>
          <w:rFonts w:hint="eastAsia"/>
          <w:color w:val="auto"/>
        </w:rPr>
        <w:t>（1）评价能源保障程度：目前，咸宁高新区规范范围内现有1座220kV孙田变电站、1座110kV的横沟变、110kV栗林变、110kV浮山变，与周边的110kV永安变一同为高新区供电，现状供电容量达到31万kW，远高于现状需求，同时，全市风电、光电、水电、生物质发电及电网建设稳步推进，完全能够保障高新区未来发展用电；咸宁昆仑燃气目前已完成城区内600余公里天然气管道建设，累计供应天然气7.48亿Nm</w:t>
      </w:r>
      <w:r>
        <w:rPr>
          <w:color w:val="auto"/>
          <w:vertAlign w:val="superscript"/>
        </w:rPr>
        <w:t>3</w:t>
      </w:r>
      <w:r>
        <w:rPr>
          <w:rFonts w:hint="eastAsia"/>
          <w:color w:val="auto"/>
        </w:rPr>
        <w:t>，同时区内规划建设的中铁加仑咸宁LNG铁路储运物流园项目将分三期建设共计10万立方罐容的LNG调峰储备库；规划扩建高新区思源水厂，提升其供水能力，供水规模达到8万m</w:t>
      </w:r>
      <w:r>
        <w:rPr>
          <w:color w:val="auto"/>
          <w:vertAlign w:val="superscript"/>
        </w:rPr>
        <w:t>3</w:t>
      </w:r>
      <w:r>
        <w:rPr>
          <w:rFonts w:hint="eastAsia"/>
          <w:color w:val="auto"/>
        </w:rPr>
        <w:t>/d，能满足高新区用水需求；区内正推进建设全市首个热电联产设施，将逐步取代区内用热企业自产热源。终上所述，区域各类能源供应均有保障。</w:t>
      </w:r>
    </w:p>
    <w:p>
      <w:pPr>
        <w:ind w:firstLine="560"/>
        <w:rPr>
          <w:color w:val="auto"/>
        </w:rPr>
      </w:pPr>
      <w:r>
        <w:rPr>
          <w:rFonts w:hint="eastAsia"/>
          <w:color w:val="auto"/>
        </w:rPr>
        <w:t>（2）确定“双控”目标：参考省、市节能主管部门分解下达的“十三五”节能目标要求，结合咸宁国家高新技术产业开发区区内行业发展</w:t>
      </w:r>
      <w:r>
        <w:rPr>
          <w:color w:val="auto"/>
        </w:rPr>
        <w:t>及</w:t>
      </w:r>
      <w:r>
        <w:rPr>
          <w:rFonts w:hint="eastAsia"/>
          <w:color w:val="auto"/>
        </w:rPr>
        <w:t>用能特点，确定了咸宁高新区2020~2022年工业企业能源消费增</w:t>
      </w:r>
      <w:r>
        <w:rPr>
          <w:color w:val="auto"/>
        </w:rPr>
        <w:t>量</w:t>
      </w:r>
      <w:r>
        <w:rPr>
          <w:rFonts w:hint="eastAsia"/>
          <w:color w:val="auto"/>
        </w:rPr>
        <w:t>控制目标</w:t>
      </w:r>
      <w:r>
        <w:rPr>
          <w:color w:val="auto"/>
        </w:rPr>
        <w:t>为41020.92tce</w:t>
      </w:r>
      <w:r>
        <w:rPr>
          <w:rFonts w:hint="eastAsia"/>
          <w:color w:val="auto"/>
        </w:rPr>
        <w:t>（当量值），到2</w:t>
      </w:r>
      <w:r>
        <w:rPr>
          <w:color w:val="auto"/>
        </w:rPr>
        <w:t>022</w:t>
      </w:r>
      <w:r>
        <w:rPr>
          <w:rFonts w:hint="eastAsia"/>
          <w:color w:val="auto"/>
        </w:rPr>
        <w:t>年</w:t>
      </w:r>
      <w:r>
        <w:rPr>
          <w:color w:val="auto"/>
        </w:rPr>
        <w:t>区内</w:t>
      </w:r>
      <w:r>
        <w:rPr>
          <w:rFonts w:hint="eastAsia"/>
          <w:color w:val="auto"/>
        </w:rPr>
        <w:t>工业企业年能源消费总量控制指标为</w:t>
      </w:r>
      <w:r>
        <w:rPr>
          <w:color w:val="auto"/>
        </w:rPr>
        <w:t>262002.08</w:t>
      </w:r>
      <w:r>
        <w:rPr>
          <w:rFonts w:hint="eastAsia"/>
          <w:color w:val="auto"/>
        </w:rPr>
        <w:t>tce（当量值），单位工业产值能耗控制在0</w:t>
      </w:r>
      <w:r>
        <w:rPr>
          <w:color w:val="auto"/>
        </w:rPr>
        <w:t>.1165</w:t>
      </w:r>
      <w:r>
        <w:rPr>
          <w:rFonts w:hint="eastAsia"/>
          <w:color w:val="auto"/>
        </w:rPr>
        <w:t>tce/万元（当量值）以内。</w:t>
      </w:r>
    </w:p>
    <w:p>
      <w:pPr>
        <w:ind w:firstLine="560"/>
        <w:rPr>
          <w:color w:val="auto"/>
        </w:rPr>
      </w:pPr>
      <w:r>
        <w:rPr>
          <w:rFonts w:hint="eastAsia"/>
          <w:color w:val="auto"/>
        </w:rPr>
        <w:t>（3）制定区域能评负面清单，确定四大类负面清单项目，具体见下表：</w:t>
      </w:r>
    </w:p>
    <w:p>
      <w:pPr>
        <w:pStyle w:val="9"/>
        <w:keepNext/>
        <w:rPr>
          <w:color w:val="auto"/>
        </w:rPr>
      </w:pPr>
      <w:r>
        <w:rPr>
          <w:rFonts w:hint="eastAsia"/>
          <w:color w:val="auto"/>
        </w:rPr>
        <w:t xml:space="preserve">表8- </w:t>
      </w:r>
      <w:r>
        <w:rPr>
          <w:color w:val="auto"/>
        </w:rPr>
        <w:fldChar w:fldCharType="begin"/>
      </w:r>
      <w:r>
        <w:rPr>
          <w:color w:val="auto"/>
        </w:rPr>
        <w:instrText xml:space="preserve"> </w:instrText>
      </w:r>
      <w:r>
        <w:rPr>
          <w:rFonts w:hint="eastAsia"/>
          <w:color w:val="auto"/>
        </w:rPr>
        <w:instrText xml:space="preserve">SEQ 表8- \* ARABIC</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负面清单信息汇总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56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
                <w:bCs/>
                <w:sz w:val="24"/>
                <w:szCs w:val="24"/>
              </w:rPr>
            </w:pPr>
            <w:r>
              <w:rPr>
                <w:rFonts w:ascii="Times New Roman" w:hAnsi="Times New Roman" w:eastAsiaTheme="minorEastAsia"/>
                <w:b/>
                <w:bCs/>
                <w:sz w:val="24"/>
                <w:szCs w:val="24"/>
              </w:rPr>
              <w:t>序号</w:t>
            </w:r>
          </w:p>
        </w:tc>
        <w:tc>
          <w:tcPr>
            <w:tcW w:w="6768" w:type="dxa"/>
            <w:tcMar>
              <w:top w:w="15" w:type="dxa"/>
              <w:left w:w="15" w:type="dxa"/>
              <w:right w:w="15" w:type="dxa"/>
            </w:tcMar>
            <w:vAlign w:val="center"/>
          </w:tcPr>
          <w:p>
            <w:pPr>
              <w:pStyle w:val="61"/>
              <w:jc w:val="center"/>
              <w:rPr>
                <w:rFonts w:ascii="Times New Roman" w:hAnsi="Times New Roman" w:eastAsiaTheme="minorEastAsia"/>
                <w:b/>
                <w:bCs/>
                <w:sz w:val="24"/>
                <w:szCs w:val="24"/>
              </w:rPr>
            </w:pPr>
            <w:r>
              <w:rPr>
                <w:rFonts w:ascii="Times New Roman" w:hAnsi="Times New Roman" w:eastAsiaTheme="minorEastAsia"/>
                <w:b/>
                <w:bCs/>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第一类</w:t>
            </w:r>
          </w:p>
        </w:tc>
        <w:tc>
          <w:tcPr>
            <w:tcW w:w="6768" w:type="dxa"/>
            <w:tcMar>
              <w:top w:w="15" w:type="dxa"/>
              <w:left w:w="15" w:type="dxa"/>
              <w:right w:w="15" w:type="dxa"/>
            </w:tcMar>
            <w:vAlign w:val="center"/>
          </w:tcPr>
          <w:p>
            <w:pPr>
              <w:pStyle w:val="61"/>
              <w:rPr>
                <w:rFonts w:ascii="Times New Roman" w:hAnsi="Times New Roman" w:eastAsiaTheme="minorEastAsia"/>
                <w:bCs/>
                <w:sz w:val="24"/>
                <w:szCs w:val="24"/>
              </w:rPr>
            </w:pPr>
            <w:r>
              <w:rPr>
                <w:rFonts w:ascii="Times New Roman" w:hAnsi="Times New Roman" w:eastAsiaTheme="minorEastAsia"/>
                <w:bCs/>
                <w:sz w:val="24"/>
                <w:szCs w:val="24"/>
              </w:rPr>
              <w:t>六大高耗能行业：</w:t>
            </w:r>
          </w:p>
          <w:p>
            <w:pPr>
              <w:pStyle w:val="61"/>
              <w:numPr>
                <w:ilvl w:val="0"/>
                <w:numId w:val="6"/>
              </w:numPr>
              <w:rPr>
                <w:rFonts w:ascii="Times New Roman" w:hAnsi="Times New Roman" w:eastAsiaTheme="minorEastAsia"/>
                <w:bCs/>
                <w:sz w:val="24"/>
                <w:szCs w:val="24"/>
              </w:rPr>
            </w:pPr>
            <w:r>
              <w:rPr>
                <w:rFonts w:ascii="Times New Roman" w:hAnsi="Times New Roman" w:eastAsiaTheme="minorEastAsia"/>
                <w:bCs/>
                <w:sz w:val="24"/>
                <w:szCs w:val="24"/>
              </w:rPr>
              <w:t>电力热力的生产和供应业</w:t>
            </w:r>
          </w:p>
          <w:p>
            <w:pPr>
              <w:pStyle w:val="61"/>
              <w:rPr>
                <w:rFonts w:ascii="Times New Roman" w:hAnsi="Times New Roman" w:eastAsiaTheme="minorEastAsia"/>
                <w:bCs/>
                <w:sz w:val="24"/>
                <w:szCs w:val="24"/>
              </w:rPr>
            </w:pPr>
            <w:r>
              <w:rPr>
                <w:rFonts w:ascii="Times New Roman" w:hAnsi="Times New Roman" w:eastAsiaTheme="minorEastAsia"/>
                <w:bCs/>
                <w:sz w:val="24"/>
                <w:szCs w:val="24"/>
              </w:rPr>
              <w:t>（2）石油加工炼焦及核燃料加工业</w:t>
            </w:r>
          </w:p>
          <w:p>
            <w:pPr>
              <w:pStyle w:val="61"/>
              <w:rPr>
                <w:rFonts w:ascii="Times New Roman" w:hAnsi="Times New Roman" w:eastAsiaTheme="minorEastAsia"/>
                <w:bCs/>
                <w:sz w:val="24"/>
                <w:szCs w:val="24"/>
              </w:rPr>
            </w:pPr>
            <w:r>
              <w:rPr>
                <w:rFonts w:ascii="Times New Roman" w:hAnsi="Times New Roman" w:eastAsiaTheme="minorEastAsia"/>
                <w:bCs/>
                <w:sz w:val="24"/>
                <w:szCs w:val="24"/>
              </w:rPr>
              <w:t>（3）化学原料及化学制品制造业</w:t>
            </w:r>
          </w:p>
          <w:p>
            <w:pPr>
              <w:pStyle w:val="61"/>
              <w:rPr>
                <w:rFonts w:ascii="Times New Roman" w:hAnsi="Times New Roman" w:eastAsiaTheme="minorEastAsia"/>
                <w:bCs/>
                <w:sz w:val="24"/>
                <w:szCs w:val="24"/>
              </w:rPr>
            </w:pPr>
            <w:r>
              <w:rPr>
                <w:rFonts w:ascii="Times New Roman" w:hAnsi="Times New Roman" w:eastAsiaTheme="minorEastAsia"/>
                <w:bCs/>
                <w:sz w:val="24"/>
                <w:szCs w:val="24"/>
              </w:rPr>
              <w:t>（4）有色金属冶炼及压延加工业</w:t>
            </w:r>
          </w:p>
          <w:p>
            <w:pPr>
              <w:pStyle w:val="61"/>
              <w:rPr>
                <w:rFonts w:ascii="Times New Roman" w:hAnsi="Times New Roman" w:eastAsiaTheme="minorEastAsia"/>
                <w:bCs/>
                <w:sz w:val="24"/>
                <w:szCs w:val="24"/>
              </w:rPr>
            </w:pPr>
            <w:r>
              <w:rPr>
                <w:rFonts w:ascii="Times New Roman" w:hAnsi="Times New Roman" w:eastAsiaTheme="minorEastAsia"/>
                <w:bCs/>
                <w:sz w:val="24"/>
                <w:szCs w:val="24"/>
              </w:rPr>
              <w:t>（5）黑色金属冶炼及压延加工业</w:t>
            </w:r>
          </w:p>
          <w:p>
            <w:pPr>
              <w:pStyle w:val="61"/>
              <w:rPr>
                <w:rFonts w:ascii="Times New Roman" w:hAnsi="Times New Roman" w:eastAsiaTheme="minorEastAsia"/>
                <w:bCs/>
                <w:sz w:val="24"/>
                <w:szCs w:val="24"/>
              </w:rPr>
            </w:pPr>
            <w:r>
              <w:rPr>
                <w:rFonts w:ascii="Times New Roman" w:hAnsi="Times New Roman" w:eastAsiaTheme="minorEastAsia"/>
                <w:bCs/>
                <w:sz w:val="24"/>
                <w:szCs w:val="24"/>
              </w:rPr>
              <w:t>（6）非金属矿物制品业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w:t>
            </w:r>
            <w:r>
              <w:rPr>
                <w:rFonts w:hint="eastAsia" w:ascii="Times New Roman" w:hAnsi="Times New Roman" w:eastAsiaTheme="minorEastAsia"/>
                <w:bCs/>
                <w:sz w:val="24"/>
                <w:szCs w:val="24"/>
              </w:rPr>
              <w:t>二</w:t>
            </w:r>
            <w:r>
              <w:rPr>
                <w:rFonts w:ascii="Times New Roman" w:hAnsi="Times New Roman" w:eastAsiaTheme="minorEastAsia"/>
                <w:bCs/>
                <w:sz w:val="24"/>
                <w:szCs w:val="24"/>
              </w:rPr>
              <w:t>类</w:t>
            </w:r>
          </w:p>
        </w:tc>
        <w:tc>
          <w:tcPr>
            <w:tcW w:w="6768" w:type="dxa"/>
            <w:tcMar>
              <w:top w:w="15" w:type="dxa"/>
              <w:left w:w="15" w:type="dxa"/>
              <w:right w:w="15" w:type="dxa"/>
            </w:tcMar>
            <w:vAlign w:val="center"/>
          </w:tcPr>
          <w:p>
            <w:pPr>
              <w:pStyle w:val="61"/>
              <w:rPr>
                <w:rFonts w:ascii="Times New Roman" w:hAnsi="Times New Roman" w:eastAsiaTheme="minorEastAsia"/>
                <w:bCs/>
                <w:sz w:val="24"/>
                <w:szCs w:val="24"/>
              </w:rPr>
            </w:pPr>
            <w:r>
              <w:rPr>
                <w:rFonts w:hint="eastAsia" w:ascii="Times New Roman" w:hAnsi="Times New Roman" w:eastAsiaTheme="minorEastAsia"/>
                <w:bCs/>
                <w:sz w:val="24"/>
                <w:szCs w:val="24"/>
              </w:rPr>
              <w:t>投资项目单位工业产值能耗高于0.</w:t>
            </w:r>
            <w:r>
              <w:rPr>
                <w:rFonts w:ascii="Times New Roman" w:hAnsi="Times New Roman" w:eastAsiaTheme="minorEastAsia"/>
                <w:bCs/>
                <w:sz w:val="24"/>
                <w:szCs w:val="24"/>
              </w:rPr>
              <w:t>1165</w:t>
            </w:r>
            <w:r>
              <w:rPr>
                <w:rFonts w:hint="eastAsia" w:ascii="Times New Roman" w:hAnsi="Times New Roman" w:eastAsiaTheme="minorEastAsia"/>
                <w:bCs/>
                <w:sz w:val="24"/>
                <w:szCs w:val="24"/>
              </w:rPr>
              <w:t>tce/万元（当量值）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w:t>
            </w:r>
            <w:r>
              <w:rPr>
                <w:rFonts w:hint="eastAsia" w:ascii="Times New Roman" w:hAnsi="Times New Roman" w:eastAsiaTheme="minorEastAsia"/>
                <w:bCs/>
                <w:sz w:val="24"/>
                <w:szCs w:val="24"/>
              </w:rPr>
              <w:t>三</w:t>
            </w:r>
            <w:r>
              <w:rPr>
                <w:rFonts w:ascii="Times New Roman" w:hAnsi="Times New Roman" w:eastAsiaTheme="minorEastAsia"/>
                <w:bCs/>
                <w:sz w:val="24"/>
                <w:szCs w:val="24"/>
              </w:rPr>
              <w:t>类</w:t>
            </w:r>
          </w:p>
        </w:tc>
        <w:tc>
          <w:tcPr>
            <w:tcW w:w="6768" w:type="dxa"/>
            <w:tcMar>
              <w:top w:w="15" w:type="dxa"/>
              <w:left w:w="15" w:type="dxa"/>
              <w:right w:w="15" w:type="dxa"/>
            </w:tcMar>
            <w:vAlign w:val="center"/>
          </w:tcPr>
          <w:p>
            <w:pPr>
              <w:pStyle w:val="61"/>
              <w:rPr>
                <w:rFonts w:ascii="Times New Roman" w:hAnsi="Times New Roman" w:eastAsiaTheme="minorEastAsia"/>
                <w:bCs/>
                <w:color w:val="FF0000"/>
                <w:sz w:val="24"/>
                <w:szCs w:val="24"/>
              </w:rPr>
            </w:pPr>
            <w:r>
              <w:rPr>
                <w:rFonts w:hint="eastAsia" w:ascii="Times New Roman" w:hAnsi="Times New Roman" w:eastAsiaTheme="minorEastAsia"/>
                <w:bCs/>
                <w:color w:val="auto"/>
                <w:sz w:val="24"/>
                <w:szCs w:val="24"/>
              </w:rPr>
              <w:t>禁燃区范围内禁止新增煤炭消耗量的投资项目；非禁燃区范围内新增煤炭消耗量的投资项目列入负面清单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568" w:type="dxa"/>
            <w:tcMar>
              <w:top w:w="15" w:type="dxa"/>
              <w:left w:w="15" w:type="dxa"/>
              <w:right w:w="15" w:type="dxa"/>
            </w:tcMar>
            <w:vAlign w:val="center"/>
          </w:tcPr>
          <w:p>
            <w:pPr>
              <w:pStyle w:val="61"/>
              <w:jc w:val="center"/>
              <w:rPr>
                <w:rFonts w:ascii="Times New Roman" w:hAnsi="Times New Roman" w:eastAsiaTheme="minorEastAsia"/>
                <w:bCs/>
                <w:sz w:val="24"/>
                <w:szCs w:val="24"/>
              </w:rPr>
            </w:pPr>
            <w:r>
              <w:rPr>
                <w:rFonts w:ascii="Times New Roman" w:hAnsi="Times New Roman" w:eastAsiaTheme="minorEastAsia"/>
                <w:bCs/>
                <w:sz w:val="24"/>
                <w:szCs w:val="24"/>
              </w:rPr>
              <w:t>第</w:t>
            </w:r>
            <w:r>
              <w:rPr>
                <w:rFonts w:hint="eastAsia" w:ascii="Times New Roman" w:hAnsi="Times New Roman" w:eastAsiaTheme="minorEastAsia"/>
                <w:bCs/>
                <w:sz w:val="24"/>
                <w:szCs w:val="24"/>
              </w:rPr>
              <w:t>四</w:t>
            </w:r>
            <w:r>
              <w:rPr>
                <w:rFonts w:ascii="Times New Roman" w:hAnsi="Times New Roman" w:eastAsiaTheme="minorEastAsia"/>
                <w:bCs/>
                <w:sz w:val="24"/>
                <w:szCs w:val="24"/>
              </w:rPr>
              <w:t>类</w:t>
            </w:r>
          </w:p>
        </w:tc>
        <w:tc>
          <w:tcPr>
            <w:tcW w:w="6768" w:type="dxa"/>
            <w:tcMar>
              <w:top w:w="15" w:type="dxa"/>
              <w:left w:w="15" w:type="dxa"/>
              <w:right w:w="15" w:type="dxa"/>
            </w:tcMar>
            <w:vAlign w:val="center"/>
          </w:tcPr>
          <w:p>
            <w:pPr>
              <w:pStyle w:val="61"/>
              <w:rPr>
                <w:rFonts w:ascii="Times New Roman" w:hAnsi="Times New Roman" w:eastAsiaTheme="minorEastAsia"/>
                <w:bCs/>
                <w:sz w:val="24"/>
                <w:szCs w:val="24"/>
              </w:rPr>
            </w:pPr>
            <w:r>
              <w:rPr>
                <w:rFonts w:ascii="Times New Roman" w:hAnsi="Times New Roman" w:eastAsiaTheme="minorEastAsia"/>
                <w:bCs/>
                <w:sz w:val="24"/>
                <w:szCs w:val="24"/>
              </w:rPr>
              <w:t>（1）</w:t>
            </w:r>
            <w:r>
              <w:rPr>
                <w:rFonts w:hint="eastAsia" w:ascii="Times New Roman" w:hAnsi="Times New Roman" w:eastAsiaTheme="minorEastAsia"/>
                <w:bCs/>
                <w:sz w:val="24"/>
                <w:szCs w:val="24"/>
              </w:rPr>
              <w:t>由省发展改革委负责节能审查的项目（年能源消费量超过5000吨标煤（当量值））</w:t>
            </w:r>
            <w:r>
              <w:rPr>
                <w:rFonts w:ascii="Times New Roman" w:hAnsi="Times New Roman" w:eastAsiaTheme="minorEastAsia"/>
                <w:bCs/>
                <w:sz w:val="24"/>
                <w:szCs w:val="24"/>
              </w:rPr>
              <w:br w:type="textWrapping"/>
            </w:r>
            <w:r>
              <w:rPr>
                <w:rFonts w:ascii="Times New Roman" w:hAnsi="Times New Roman" w:eastAsiaTheme="minorEastAsia"/>
                <w:bCs/>
                <w:sz w:val="24"/>
                <w:szCs w:val="24"/>
              </w:rPr>
              <w:t>（2）企业自愿要求开展节能评价审查的项目</w:t>
            </w:r>
          </w:p>
        </w:tc>
      </w:tr>
    </w:tbl>
    <w:p>
      <w:pPr>
        <w:spacing w:line="240" w:lineRule="auto"/>
        <w:ind w:firstLine="0" w:firstLineChars="0"/>
        <w:rPr>
          <w:color w:val="auto"/>
          <w:sz w:val="24"/>
        </w:rPr>
      </w:pPr>
    </w:p>
    <w:p>
      <w:pPr>
        <w:ind w:firstLine="560"/>
        <w:rPr>
          <w:color w:val="auto"/>
        </w:rPr>
      </w:pPr>
      <w:r>
        <w:rPr>
          <w:rFonts w:hint="eastAsia"/>
          <w:color w:val="auto"/>
        </w:rPr>
        <w:t>对区内不属于</w:t>
      </w:r>
      <w:r>
        <w:rPr>
          <w:color w:val="auto"/>
        </w:rPr>
        <w:t>负面清单</w:t>
      </w:r>
      <w:r>
        <w:rPr>
          <w:rFonts w:hint="eastAsia"/>
          <w:color w:val="auto"/>
        </w:rPr>
        <w:t>的一般项目实行承诺备案管理，不再</w:t>
      </w:r>
      <w:r>
        <w:rPr>
          <w:color w:val="auto"/>
        </w:rPr>
        <w:t>单独进行节能审查</w:t>
      </w:r>
      <w:r>
        <w:rPr>
          <w:rFonts w:hint="eastAsia"/>
          <w:color w:val="auto"/>
        </w:rPr>
        <w:t>，</w:t>
      </w:r>
      <w:r>
        <w:rPr>
          <w:color w:val="auto"/>
        </w:rPr>
        <w:t>项目建设单位</w:t>
      </w:r>
      <w:r>
        <w:rPr>
          <w:rFonts w:hint="eastAsia"/>
          <w:color w:val="auto"/>
        </w:rPr>
        <w:t>填写节能承诺备案表（附件</w:t>
      </w:r>
      <w:r>
        <w:rPr>
          <w:color w:val="auto"/>
        </w:rPr>
        <w:t>一</w:t>
      </w:r>
      <w:r>
        <w:rPr>
          <w:rFonts w:hint="eastAsia"/>
          <w:color w:val="auto"/>
        </w:rPr>
        <w:t>），</w:t>
      </w:r>
      <w:r>
        <w:rPr>
          <w:color w:val="auto"/>
        </w:rPr>
        <w:t>提交</w:t>
      </w:r>
      <w:r>
        <w:rPr>
          <w:rFonts w:hint="eastAsia"/>
          <w:color w:val="auto"/>
        </w:rPr>
        <w:t>高新区</w:t>
      </w:r>
      <w:r>
        <w:rPr>
          <w:color w:val="auto"/>
        </w:rPr>
        <w:t>节能主管部</w:t>
      </w:r>
      <w:r>
        <w:rPr>
          <w:rFonts w:hint="eastAsia"/>
          <w:color w:val="auto"/>
        </w:rPr>
        <w:t>门进行</w:t>
      </w:r>
      <w:r>
        <w:rPr>
          <w:color w:val="auto"/>
        </w:rPr>
        <w:t>备案</w:t>
      </w:r>
      <w:r>
        <w:rPr>
          <w:rFonts w:hint="eastAsia"/>
          <w:color w:val="auto"/>
        </w:rPr>
        <w:t>；对负面清单内的项目仍按照《湖北省固定资产投资项目节能审查实施办法》实行项目节能评估审查。</w:t>
      </w:r>
    </w:p>
    <w:p>
      <w:pPr>
        <w:ind w:firstLine="560"/>
        <w:rPr>
          <w:color w:val="auto"/>
        </w:rPr>
      </w:pPr>
      <w:r>
        <w:rPr>
          <w:rFonts w:hint="eastAsia"/>
          <w:color w:val="auto"/>
        </w:rPr>
        <w:t>（4）根据《省人民政府关于加快推进重大项目建设着力扩大有效投资的若干意见》（鄂政发〔2020〕8号）要求，咸宁高新区内于2020年新建并于“十四五”时期投产的重大项目，按照国家产业布局规划、开工投产计划批准建设，可不受能耗总量指标约束。同时，2020年投产的重大项目所产生的能耗量，待“十三五”规划执行结束后，结合全省能耗强度目标完成情况统筹处理。因此，本报告“双控”指标可根据后期省、市“十三五”期间“双控”目标完成情况及“十四五”节能减排综合工作方案进行调整。</w:t>
      </w:r>
    </w:p>
    <w:p>
      <w:pPr>
        <w:ind w:firstLine="560"/>
        <w:rPr>
          <w:color w:val="auto"/>
        </w:rPr>
      </w:pPr>
      <w:r>
        <w:rPr>
          <w:rFonts w:hint="eastAsia"/>
          <w:color w:val="auto"/>
        </w:rPr>
        <w:t>（</w:t>
      </w:r>
      <w:r>
        <w:rPr>
          <w:color w:val="auto"/>
        </w:rPr>
        <w:t>5</w:t>
      </w:r>
      <w:r>
        <w:rPr>
          <w:rFonts w:hint="eastAsia"/>
          <w:color w:val="auto"/>
        </w:rPr>
        <w:t>）根据《上海产业能效指南（2018年版）》和国家、先进地区已颁布实施的部分能耗标准，汇总整理咸宁国家高新技术产业开发区玻璃制造、饮料制造等行业的能效控制指标，供审批部门备案时参考</w:t>
      </w:r>
      <w:r>
        <w:rPr>
          <w:color w:val="auto"/>
        </w:rPr>
        <w:t>、</w:t>
      </w:r>
      <w:r>
        <w:rPr>
          <w:rFonts w:hint="eastAsia"/>
          <w:color w:val="auto"/>
        </w:rPr>
        <w:t>查阅。</w:t>
      </w:r>
    </w:p>
    <w:p>
      <w:pPr>
        <w:ind w:firstLine="560"/>
        <w:rPr>
          <w:rFonts w:hint="eastAsia"/>
          <w:color w:val="auto"/>
        </w:rPr>
      </w:pPr>
      <w:r>
        <w:rPr>
          <w:rFonts w:hint="eastAsia"/>
          <w:color w:val="auto"/>
        </w:rPr>
        <w:t>（</w:t>
      </w:r>
      <w:r>
        <w:rPr>
          <w:color w:val="auto"/>
        </w:rPr>
        <w:t>6</w:t>
      </w:r>
      <w:r>
        <w:rPr>
          <w:rFonts w:hint="eastAsia"/>
          <w:color w:val="auto"/>
        </w:rPr>
        <w:t>）提出区域节能措施：针对高新区内各主要行业用能特点和</w:t>
      </w:r>
      <w:r>
        <w:rPr>
          <w:color w:val="auto"/>
        </w:rPr>
        <w:t>节能潜力</w:t>
      </w:r>
      <w:r>
        <w:rPr>
          <w:rFonts w:hint="eastAsia"/>
          <w:color w:val="auto"/>
        </w:rPr>
        <w:t>，分别提出了玻璃制造、食品饮料、先进制造、涂料化工行业的先进节能技术以及能源管理体系、信息化能源管理系统等先进节能管理措施。建议开展热电联产及管网工程、分布式光伏和智能微电网工程建设，促进</w:t>
      </w:r>
      <w:r>
        <w:rPr>
          <w:color w:val="auto"/>
        </w:rPr>
        <w:t>清洁能源的利用</w:t>
      </w:r>
      <w:r>
        <w:rPr>
          <w:rFonts w:hint="eastAsia"/>
          <w:color w:val="auto"/>
        </w:rPr>
        <w:t>和</w:t>
      </w:r>
      <w:r>
        <w:rPr>
          <w:color w:val="auto"/>
        </w:rPr>
        <w:t>区域节能减排。</w:t>
      </w:r>
    </w:p>
    <w:p>
      <w:pPr>
        <w:pStyle w:val="3"/>
        <w:ind w:firstLine="643"/>
        <w:rPr>
          <w:color w:val="auto"/>
        </w:rPr>
      </w:pPr>
      <w:bookmarkStart w:id="82" w:name="_Toc40625217"/>
      <w:r>
        <w:rPr>
          <w:rFonts w:hint="eastAsia"/>
          <w:color w:val="auto"/>
        </w:rPr>
        <w:t>8</w:t>
      </w:r>
      <w:r>
        <w:rPr>
          <w:color w:val="auto"/>
        </w:rPr>
        <w:t>.2</w:t>
      </w:r>
      <w:r>
        <w:rPr>
          <w:rFonts w:hint="eastAsia"/>
          <w:color w:val="auto"/>
        </w:rPr>
        <w:t>建议</w:t>
      </w:r>
      <w:bookmarkEnd w:id="82"/>
    </w:p>
    <w:p>
      <w:pPr>
        <w:ind w:firstLine="560"/>
        <w:rPr>
          <w:color w:val="auto"/>
        </w:rPr>
      </w:pPr>
      <w:r>
        <w:rPr>
          <w:rFonts w:hint="eastAsia"/>
          <w:color w:val="auto"/>
        </w:rPr>
        <w:t>（1）建立健全相关能耗标准体系。建立健全区域重点用能行业能效标准体系，开展行业能效领跑者活动，可根据单位产品能耗、单位产品电耗（kW</w:t>
      </w:r>
      <w:r>
        <w:rPr>
          <w:color w:val="auto"/>
        </w:rPr>
        <w:t>·</w:t>
      </w:r>
      <w:r>
        <w:rPr>
          <w:rFonts w:hint="eastAsia"/>
          <w:color w:val="auto"/>
        </w:rPr>
        <w:t>h/单位产品）、万元产值能耗（吨标煤/万元）、万元增加值能耗（吨标煤/万元）等能效指标，在玻璃、饮料、纺织、先进制造等重点用能行业推出一批能源利用效率领先的行业标杆，为区域能评提供能效对标提供参考。咸宁高新区可根据区域产业的发展现状，适时制订严于国家、行业和省级标准的区域能效标准，提高区域能源利用效率，提升区域产业发展水平。</w:t>
      </w:r>
    </w:p>
    <w:p>
      <w:pPr>
        <w:ind w:firstLine="560"/>
        <w:rPr>
          <w:color w:val="auto"/>
        </w:rPr>
      </w:pPr>
      <w:r>
        <w:rPr>
          <w:rFonts w:hint="eastAsia"/>
          <w:color w:val="auto"/>
        </w:rPr>
        <w:t>（2）实施用能预算化管理制度。建立区域内用能预算化管理体系，推行用能预算化管理制度。提出新上负面清单内项目产能，按能源总量许可进行安排的科学建议。能源总量不足安排的，必须按照“等量置换”或“减量置换”的原则淘汰相应产能，推动用能管理精细化、科学化，实现用能的高效配置，确保实现区域能源消费总量的动态平衡。</w:t>
      </w:r>
    </w:p>
    <w:p>
      <w:pPr>
        <w:ind w:firstLine="560"/>
        <w:rPr>
          <w:color w:val="auto"/>
        </w:rPr>
      </w:pPr>
      <w:r>
        <w:rPr>
          <w:rFonts w:hint="eastAsia"/>
          <w:color w:val="auto"/>
        </w:rPr>
        <w:t>（3）推动企业进行能源三级计量配备，以便对企业产品进行能耗考核；建立区域内智慧能源管理系统，完善用能企业的能耗统计制度与统计平台，对用能总量及能效指标进行实时监控及调阅分析，做好“双控”及“平衡”工作。</w:t>
      </w:r>
    </w:p>
    <w:p>
      <w:pPr>
        <w:ind w:firstLine="560"/>
        <w:rPr>
          <w:color w:val="auto"/>
        </w:rPr>
      </w:pPr>
      <w:r>
        <w:rPr>
          <w:rFonts w:hint="eastAsia"/>
          <w:color w:val="auto"/>
        </w:rPr>
        <w:t>（4）本次区域节能评估报告有效期限至 2022 年末，有效期内可根据上级产业政策、能源管理政策变化或视区域实际情况，对能源控制目标及负面清单进行动态调整。</w:t>
      </w:r>
    </w:p>
    <w:p>
      <w:pPr>
        <w:ind w:firstLine="560"/>
        <w:rPr>
          <w:color w:val="FF0000"/>
        </w:rPr>
      </w:pPr>
    </w:p>
    <w:p>
      <w:pPr>
        <w:ind w:firstLine="560"/>
        <w:rPr>
          <w:color w:val="auto"/>
        </w:rPr>
      </w:pPr>
    </w:p>
    <w:p>
      <w:pPr>
        <w:ind w:firstLine="560"/>
        <w:rPr>
          <w:color w:val="auto"/>
        </w:rPr>
        <w:sectPr>
          <w:pgSz w:w="11906" w:h="16838"/>
          <w:pgMar w:top="1440" w:right="1800" w:bottom="1440" w:left="1800" w:header="850" w:footer="992" w:gutter="0"/>
          <w:cols w:space="425" w:num="1"/>
          <w:docGrid w:type="lines" w:linePitch="381" w:charSpace="0"/>
        </w:sectPr>
      </w:pPr>
    </w:p>
    <w:p>
      <w:pPr>
        <w:spacing w:line="240" w:lineRule="auto"/>
        <w:ind w:firstLine="0" w:firstLineChars="0"/>
        <w:jc w:val="left"/>
        <w:rPr>
          <w:rFonts w:ascii="黑体" w:hAnsi="黑体" w:eastAsia="黑体"/>
        </w:rPr>
      </w:pPr>
      <w:bookmarkStart w:id="83" w:name="_Toc40625218"/>
      <w:r>
        <w:rPr>
          <w:rFonts w:hint="eastAsia" w:ascii="黑体" w:hAnsi="黑体" w:eastAsia="黑体"/>
        </w:rPr>
        <w:t>附件</w:t>
      </w:r>
      <w:r>
        <w:rPr>
          <w:rFonts w:ascii="黑体" w:hAnsi="黑体" w:eastAsia="黑体"/>
        </w:rPr>
        <w:t>一</w:t>
      </w:r>
    </w:p>
    <w:p>
      <w:pPr>
        <w:pStyle w:val="2"/>
        <w:numPr>
          <w:ilvl w:val="0"/>
          <w:numId w:val="0"/>
        </w:numPr>
        <w:spacing w:before="120" w:after="120"/>
        <w:rPr>
          <w:color w:val="auto"/>
        </w:rPr>
      </w:pPr>
      <w:r>
        <w:rPr>
          <w:rFonts w:hint="eastAsia"/>
          <w:color w:val="auto"/>
        </w:rPr>
        <w:t>固定资产投资项目节能承诺备案表</w:t>
      </w:r>
      <w:bookmarkEnd w:id="83"/>
    </w:p>
    <w:tbl>
      <w:tblPr>
        <w:tblStyle w:val="23"/>
        <w:tblW w:w="914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57" w:type="dxa"/>
          <w:bottom w:w="0" w:type="dxa"/>
          <w:right w:w="57" w:type="dxa"/>
        </w:tblCellMar>
      </w:tblPr>
      <w:tblGrid>
        <w:gridCol w:w="596"/>
        <w:gridCol w:w="1685"/>
        <w:gridCol w:w="1716"/>
        <w:gridCol w:w="1265"/>
        <w:gridCol w:w="452"/>
        <w:gridCol w:w="917"/>
        <w:gridCol w:w="595"/>
        <w:gridCol w:w="204"/>
        <w:gridCol w:w="17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restart"/>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项目概况</w:t>
            </w: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项目建设单位</w:t>
            </w:r>
          </w:p>
        </w:tc>
        <w:tc>
          <w:tcPr>
            <w:tcW w:w="298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盖章</w:t>
            </w:r>
            <w:r>
              <w:rPr>
                <w:rFonts w:hint="eastAsia" w:ascii="Times New Roman" w:hAnsi="Times New Roman" w:eastAsiaTheme="minorEastAsia"/>
                <w:sz w:val="24"/>
                <w:szCs w:val="24"/>
                <w:lang w:val="zh-CN"/>
              </w:rPr>
              <w:t>）</w:t>
            </w:r>
          </w:p>
        </w:tc>
        <w:tc>
          <w:tcPr>
            <w:tcW w:w="1964"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单位法定代表人</w:t>
            </w:r>
          </w:p>
        </w:tc>
        <w:tc>
          <w:tcPr>
            <w:tcW w:w="192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建设地点</w:t>
            </w:r>
          </w:p>
        </w:tc>
        <w:tc>
          <w:tcPr>
            <w:tcW w:w="298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964"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法定代表人电话</w:t>
            </w:r>
          </w:p>
        </w:tc>
        <w:tc>
          <w:tcPr>
            <w:tcW w:w="192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联系人</w:t>
            </w:r>
          </w:p>
        </w:tc>
        <w:tc>
          <w:tcPr>
            <w:tcW w:w="298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964"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联系人电话</w:t>
            </w:r>
          </w:p>
        </w:tc>
        <w:tc>
          <w:tcPr>
            <w:tcW w:w="192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项目性质</w:t>
            </w:r>
          </w:p>
        </w:tc>
        <w:tc>
          <w:tcPr>
            <w:tcW w:w="2981" w:type="dxa"/>
            <w:gridSpan w:val="2"/>
            <w:tcBorders>
              <w:top w:val="single" w:color="000000" w:sz="8" w:space="0"/>
              <w:left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新建</w:t>
            </w:r>
            <w:r>
              <w:rPr>
                <w:rFonts w:asciiTheme="minorEastAsia" w:hAnsiTheme="minorEastAsia" w:eastAsiaTheme="minorEastAsia"/>
                <w:sz w:val="24"/>
                <w:szCs w:val="24"/>
                <w:lang w:val="zh-CN"/>
              </w:rPr>
              <w:t>□</w:t>
            </w:r>
            <w:r>
              <w:rPr>
                <w:rFonts w:ascii="Times New Roman" w:hAnsi="Times New Roman" w:eastAsiaTheme="minorEastAsia"/>
                <w:sz w:val="24"/>
                <w:szCs w:val="24"/>
                <w:lang w:val="zh-CN"/>
              </w:rPr>
              <w:t xml:space="preserve">  改建</w:t>
            </w:r>
            <w:r>
              <w:rPr>
                <w:rFonts w:asciiTheme="minorEastAsia" w:hAnsiTheme="minorEastAsia" w:eastAsiaTheme="minorEastAsia"/>
                <w:sz w:val="24"/>
                <w:szCs w:val="24"/>
                <w:lang w:val="zh-CN"/>
              </w:rPr>
              <w:t>□</w:t>
            </w:r>
            <w:r>
              <w:rPr>
                <w:rFonts w:ascii="Times New Roman" w:hAnsi="Times New Roman" w:eastAsiaTheme="minorEastAsia"/>
                <w:sz w:val="24"/>
                <w:szCs w:val="24"/>
                <w:lang w:val="zh-CN"/>
              </w:rPr>
              <w:t xml:space="preserve">  扩建</w:t>
            </w:r>
            <w:r>
              <w:rPr>
                <w:rFonts w:asciiTheme="minorEastAsia" w:hAnsiTheme="minorEastAsia" w:eastAsiaTheme="minorEastAsia"/>
                <w:sz w:val="24"/>
                <w:szCs w:val="24"/>
                <w:lang w:val="zh-CN"/>
              </w:rPr>
              <w:t>□</w:t>
            </w:r>
          </w:p>
        </w:tc>
        <w:tc>
          <w:tcPr>
            <w:tcW w:w="1964" w:type="dxa"/>
            <w:gridSpan w:val="3"/>
            <w:tcBorders>
              <w:top w:val="single" w:color="000000" w:sz="8" w:space="0"/>
              <w:left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项目总投资</w:t>
            </w:r>
          </w:p>
        </w:tc>
        <w:tc>
          <w:tcPr>
            <w:tcW w:w="192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hint="eastAsia" w:ascii="Times New Roman" w:hAnsi="Times New Roman" w:eastAsiaTheme="minorEastAsia"/>
                <w:sz w:val="24"/>
                <w:szCs w:val="24"/>
                <w:lang w:val="zh-CN"/>
              </w:rPr>
              <w:t xml:space="preserve"> </w:t>
            </w:r>
            <w:r>
              <w:rPr>
                <w:rFonts w:ascii="Times New Roman" w:hAnsi="Times New Roman" w:eastAsiaTheme="minorEastAsia"/>
                <w:sz w:val="24"/>
                <w:szCs w:val="24"/>
                <w:lang w:val="zh-CN"/>
              </w:rPr>
              <w:t xml:space="preserve">        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投资管理类别</w:t>
            </w:r>
          </w:p>
        </w:tc>
        <w:tc>
          <w:tcPr>
            <w:tcW w:w="6866" w:type="dxa"/>
            <w:gridSpan w:val="7"/>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审批</w:t>
            </w:r>
            <w:r>
              <w:rPr>
                <w:rFonts w:asciiTheme="minorEastAsia" w:hAnsiTheme="minorEastAsia" w:eastAsiaTheme="minorEastAsia"/>
                <w:sz w:val="24"/>
                <w:szCs w:val="24"/>
                <w:lang w:val="zh-CN"/>
              </w:rPr>
              <w:t>□</w:t>
            </w:r>
            <w:r>
              <w:rPr>
                <w:rFonts w:ascii="Times New Roman" w:hAnsi="Times New Roman" w:eastAsiaTheme="minorEastAsia"/>
                <w:sz w:val="24"/>
                <w:szCs w:val="24"/>
              </w:rPr>
              <w:t xml:space="preserve">            </w:t>
            </w:r>
            <w:r>
              <w:rPr>
                <w:rFonts w:ascii="Times New Roman" w:hAnsi="Times New Roman" w:eastAsiaTheme="minorEastAsia"/>
                <w:sz w:val="24"/>
                <w:szCs w:val="24"/>
                <w:lang w:val="zh-CN"/>
              </w:rPr>
              <w:t>核准</w:t>
            </w:r>
            <w:r>
              <w:rPr>
                <w:rFonts w:asciiTheme="minorEastAsia" w:hAnsiTheme="minorEastAsia" w:eastAsiaTheme="minorEastAsia"/>
                <w:sz w:val="24"/>
                <w:szCs w:val="24"/>
                <w:lang w:val="zh-CN"/>
              </w:rPr>
              <w:t>□</w:t>
            </w:r>
            <w:r>
              <w:rPr>
                <w:rFonts w:ascii="Times New Roman" w:hAnsi="Times New Roman" w:eastAsiaTheme="minorEastAsia"/>
                <w:sz w:val="24"/>
                <w:szCs w:val="24"/>
              </w:rPr>
              <w:t xml:space="preserve">            </w:t>
            </w:r>
            <w:r>
              <w:rPr>
                <w:rFonts w:ascii="Times New Roman" w:hAnsi="Times New Roman" w:eastAsiaTheme="minorEastAsia"/>
                <w:sz w:val="24"/>
                <w:szCs w:val="24"/>
                <w:lang w:val="zh-CN"/>
              </w:rPr>
              <w:t>备案</w:t>
            </w:r>
            <w:r>
              <w:rPr>
                <w:rFonts w:asciiTheme="minorEastAsia" w:hAnsiTheme="minorEastAsia" w:eastAsiaTheme="minorEastAsia"/>
                <w:sz w:val="24"/>
                <w:szCs w:val="24"/>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项目所属行业</w:t>
            </w:r>
          </w:p>
        </w:tc>
        <w:tc>
          <w:tcPr>
            <w:tcW w:w="2981"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（填写行业名称</w:t>
            </w:r>
            <w:r>
              <w:rPr>
                <w:rFonts w:ascii="Times New Roman" w:hAnsi="Times New Roman" w:eastAsiaTheme="minorEastAsia"/>
                <w:sz w:val="24"/>
                <w:szCs w:val="24"/>
              </w:rPr>
              <w:t>/行业代码）</w:t>
            </w:r>
          </w:p>
        </w:tc>
        <w:tc>
          <w:tcPr>
            <w:tcW w:w="1964"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建筑面积（m</w:t>
            </w:r>
            <w:r>
              <w:rPr>
                <w:rFonts w:ascii="Times New Roman" w:hAnsi="Times New Roman" w:eastAsiaTheme="minorEastAsia"/>
                <w:sz w:val="24"/>
                <w:szCs w:val="24"/>
                <w:vertAlign w:val="superscript"/>
                <w:lang w:val="zh-CN"/>
              </w:rPr>
              <w:t>2</w:t>
            </w:r>
            <w:r>
              <w:rPr>
                <w:rFonts w:ascii="Times New Roman" w:hAnsi="Times New Roman" w:eastAsiaTheme="minorEastAsia"/>
                <w:sz w:val="24"/>
                <w:szCs w:val="24"/>
                <w:lang w:val="zh-CN"/>
              </w:rPr>
              <w:t>）</w:t>
            </w:r>
          </w:p>
        </w:tc>
        <w:tc>
          <w:tcPr>
            <w:tcW w:w="1921"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建设规模及</w:t>
            </w:r>
          </w:p>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主要内容</w:t>
            </w:r>
          </w:p>
        </w:tc>
        <w:tc>
          <w:tcPr>
            <w:tcW w:w="6866" w:type="dxa"/>
            <w:gridSpan w:val="7"/>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restart"/>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年耗能量</w:t>
            </w: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能源/</w:t>
            </w:r>
            <w:r>
              <w:rPr>
                <w:rFonts w:hint="eastAsia" w:ascii="Times New Roman" w:hAnsi="Times New Roman" w:eastAsiaTheme="minorEastAsia"/>
                <w:sz w:val="24"/>
                <w:szCs w:val="24"/>
                <w:lang w:val="zh-CN"/>
              </w:rPr>
              <w:t>工质</w:t>
            </w:r>
            <w:r>
              <w:rPr>
                <w:rFonts w:ascii="Times New Roman" w:hAnsi="Times New Roman" w:eastAsiaTheme="minorEastAsia"/>
                <w:sz w:val="24"/>
                <w:szCs w:val="24"/>
                <w:lang w:val="zh-CN"/>
              </w:rPr>
              <w:t>种类</w:t>
            </w:r>
          </w:p>
        </w:tc>
        <w:tc>
          <w:tcPr>
            <w:tcW w:w="1716"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w:t>
            </w:r>
          </w:p>
        </w:tc>
        <w:tc>
          <w:tcPr>
            <w:tcW w:w="1717"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年需要实物量</w:t>
            </w:r>
          </w:p>
        </w:tc>
        <w:tc>
          <w:tcPr>
            <w:tcW w:w="17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参考折标系数</w:t>
            </w:r>
          </w:p>
        </w:tc>
        <w:tc>
          <w:tcPr>
            <w:tcW w:w="1717"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年</w:t>
            </w:r>
            <w:r>
              <w:rPr>
                <w:rFonts w:hint="eastAsia" w:ascii="Times New Roman" w:hAnsi="Times New Roman" w:eastAsiaTheme="minorEastAsia"/>
                <w:sz w:val="24"/>
                <w:szCs w:val="24"/>
                <w:lang w:val="zh-CN"/>
              </w:rPr>
              <w:t>标煤消费</w:t>
            </w:r>
            <w:r>
              <w:rPr>
                <w:rFonts w:ascii="Times New Roman" w:hAnsi="Times New Roman" w:eastAsiaTheme="minorEastAsia"/>
                <w:sz w:val="24"/>
                <w:szCs w:val="24"/>
                <w:lang w:val="zh-CN"/>
              </w:rPr>
              <w:t>量</w:t>
            </w:r>
          </w:p>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w:t>
            </w:r>
            <w:r>
              <w:rPr>
                <w:rFonts w:ascii="Times New Roman" w:hAnsi="Times New Roman" w:eastAsiaTheme="minorEastAsia"/>
                <w:sz w:val="24"/>
                <w:szCs w:val="24"/>
              </w:rPr>
              <w:t>当量值</w:t>
            </w:r>
            <w:r>
              <w:rPr>
                <w:rFonts w:ascii="Times New Roman" w:hAnsi="Times New Roman" w:eastAsiaTheme="minorEastAsia"/>
                <w:sz w:val="24"/>
                <w:szCs w:val="24"/>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685"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gridSpan w:val="2"/>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1717" w:type="dxa"/>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61"/>
              <w:jc w:val="center"/>
              <w:rPr>
                <w:rFonts w:ascii="Times New Roman" w:hAnsi="Times New Roman" w:eastAsiaTheme="minorEastAsia"/>
                <w:sz w:val="24"/>
                <w:szCs w:val="24"/>
                <w:lang w:val="zh-CN"/>
              </w:rPr>
            </w:pPr>
          </w:p>
        </w:tc>
        <w:tc>
          <w:tcPr>
            <w:tcW w:w="8551"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能源消费总量（吨标准煤，</w:t>
            </w:r>
            <w:r>
              <w:rPr>
                <w:rFonts w:ascii="Times New Roman" w:hAnsi="Times New Roman" w:eastAsiaTheme="minorEastAsia"/>
                <w:sz w:val="24"/>
                <w:szCs w:val="24"/>
              </w:rPr>
              <w:t>当量值</w:t>
            </w:r>
            <w:r>
              <w:rPr>
                <w:rFonts w:ascii="Times New Roman" w:hAnsi="Times New Roman" w:eastAsiaTheme="minorEastAsia"/>
                <w:sz w:val="24"/>
                <w:szCs w:val="24"/>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restart"/>
            <w:tcBorders>
              <w:top w:val="single" w:color="000000" w:sz="8" w:space="0"/>
              <w:left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单位能耗</w:t>
            </w:r>
          </w:p>
        </w:tc>
        <w:tc>
          <w:tcPr>
            <w:tcW w:w="6035" w:type="dxa"/>
            <w:gridSpan w:val="5"/>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单位产值综合能耗（吨标煤/万元</w:t>
            </w:r>
            <w:r>
              <w:rPr>
                <w:rFonts w:hint="eastAsia" w:ascii="Times New Roman" w:hAnsi="Times New Roman" w:eastAsiaTheme="minorEastAsia"/>
                <w:sz w:val="24"/>
                <w:szCs w:val="24"/>
                <w:lang w:val="zh-CN"/>
              </w:rPr>
              <w:t>，当量值</w:t>
            </w:r>
            <w:r>
              <w:rPr>
                <w:rFonts w:ascii="Times New Roman" w:hAnsi="Times New Roman" w:eastAsiaTheme="minorEastAsia"/>
                <w:sz w:val="24"/>
                <w:szCs w:val="24"/>
                <w:lang w:val="zh-CN"/>
              </w:rPr>
              <w:t>）</w:t>
            </w:r>
          </w:p>
        </w:tc>
        <w:tc>
          <w:tcPr>
            <w:tcW w:w="25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left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6035" w:type="dxa"/>
            <w:gridSpan w:val="5"/>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单位产品综合能耗（吨标煤/</w:t>
            </w:r>
            <w:r>
              <w:rPr>
                <w:rFonts w:ascii="Times New Roman" w:hAnsi="Times New Roman" w:eastAsiaTheme="minorEastAsia"/>
                <w:sz w:val="24"/>
                <w:szCs w:val="24"/>
              </w:rPr>
              <w:t>产品单位</w:t>
            </w:r>
            <w:r>
              <w:rPr>
                <w:rFonts w:hint="eastAsia" w:ascii="Times New Roman" w:hAnsi="Times New Roman" w:eastAsiaTheme="minorEastAsia"/>
                <w:sz w:val="24"/>
                <w:szCs w:val="24"/>
              </w:rPr>
              <w:t>，当量值</w:t>
            </w:r>
            <w:r>
              <w:rPr>
                <w:rFonts w:ascii="Times New Roman" w:hAnsi="Times New Roman" w:eastAsiaTheme="minorEastAsia"/>
                <w:sz w:val="24"/>
                <w:szCs w:val="24"/>
                <w:lang w:val="zh-CN"/>
              </w:rPr>
              <w:t>）</w:t>
            </w:r>
          </w:p>
        </w:tc>
        <w:tc>
          <w:tcPr>
            <w:tcW w:w="25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596" w:type="dxa"/>
            <w:vMerge w:val="continue"/>
            <w:tcBorders>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c>
          <w:tcPr>
            <w:tcW w:w="6035" w:type="dxa"/>
            <w:gridSpan w:val="5"/>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r>
              <w:rPr>
                <w:rFonts w:ascii="Times New Roman" w:hAnsi="Times New Roman" w:eastAsiaTheme="minorEastAsia"/>
                <w:sz w:val="24"/>
                <w:szCs w:val="24"/>
                <w:lang w:val="zh-CN"/>
              </w:rPr>
              <w:t>单位工业增加值能耗（吨标煤/万元</w:t>
            </w:r>
            <w:r>
              <w:rPr>
                <w:rFonts w:hint="eastAsia" w:ascii="Times New Roman" w:hAnsi="Times New Roman" w:eastAsiaTheme="minorEastAsia"/>
                <w:sz w:val="24"/>
                <w:szCs w:val="24"/>
                <w:lang w:val="zh-CN"/>
              </w:rPr>
              <w:t>，当量值</w:t>
            </w:r>
            <w:r>
              <w:rPr>
                <w:rFonts w:ascii="Times New Roman" w:hAnsi="Times New Roman" w:eastAsiaTheme="minorEastAsia"/>
                <w:sz w:val="24"/>
                <w:szCs w:val="24"/>
                <w:lang w:val="zh-CN"/>
              </w:rPr>
              <w:t>）</w:t>
            </w:r>
          </w:p>
        </w:tc>
        <w:tc>
          <w:tcPr>
            <w:tcW w:w="2516" w:type="dxa"/>
            <w:gridSpan w:val="3"/>
            <w:tcBorders>
              <w:top w:val="single" w:color="000000" w:sz="8" w:space="0"/>
              <w:left w:val="single" w:color="000000" w:sz="8" w:space="0"/>
              <w:bottom w:val="single" w:color="000000" w:sz="8" w:space="0"/>
              <w:right w:val="single" w:color="000000" w:sz="8" w:space="0"/>
            </w:tcBorders>
            <w:vAlign w:val="center"/>
          </w:tcPr>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9147" w:type="dxa"/>
            <w:gridSpan w:val="9"/>
            <w:tcBorders>
              <w:top w:val="single" w:color="000000" w:sz="8" w:space="0"/>
              <w:left w:val="single" w:color="000000" w:sz="8" w:space="0"/>
              <w:bottom w:val="single" w:color="auto" w:sz="4" w:space="0"/>
              <w:right w:val="single" w:color="000000" w:sz="8" w:space="0"/>
            </w:tcBorders>
            <w:vAlign w:val="center"/>
          </w:tcPr>
          <w:p>
            <w:pPr>
              <w:pStyle w:val="61"/>
              <w:jc w:val="left"/>
              <w:rPr>
                <w:rFonts w:ascii="Times New Roman" w:hAnsi="Times New Roman" w:eastAsiaTheme="minorEastAsia"/>
                <w:sz w:val="24"/>
                <w:szCs w:val="24"/>
                <w:lang w:val="zh-CN"/>
              </w:rPr>
            </w:pPr>
            <w:r>
              <w:rPr>
                <w:rFonts w:ascii="Times New Roman" w:hAnsi="Times New Roman" w:eastAsiaTheme="minorEastAsia"/>
                <w:sz w:val="24"/>
                <w:szCs w:val="24"/>
                <w:lang w:val="zh-CN"/>
              </w:rPr>
              <w:t>项目节能措施简述（采用的节能设计标准、规范以及节能新技术、新产品并说明项目能源利用效率）：</w:t>
            </w: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9147" w:type="dxa"/>
            <w:gridSpan w:val="9"/>
            <w:tcBorders>
              <w:top w:val="single" w:color="auto" w:sz="4" w:space="0"/>
              <w:left w:val="single" w:color="000000" w:sz="8" w:space="0"/>
              <w:bottom w:val="single" w:color="000000" w:sz="8" w:space="0"/>
              <w:right w:val="single" w:color="000000" w:sz="8" w:space="0"/>
            </w:tcBorders>
            <w:vAlign w:val="center"/>
          </w:tcPr>
          <w:p>
            <w:pPr>
              <w:pStyle w:val="61"/>
              <w:rPr>
                <w:rFonts w:ascii="Times New Roman" w:hAnsi="Times New Roman" w:eastAsiaTheme="minorEastAsia"/>
                <w:sz w:val="24"/>
                <w:szCs w:val="24"/>
                <w:lang w:val="zh-CN"/>
              </w:rPr>
            </w:pPr>
            <w:r>
              <w:rPr>
                <w:rFonts w:ascii="Times New Roman" w:hAnsi="Times New Roman" w:eastAsiaTheme="minorEastAsia"/>
                <w:sz w:val="24"/>
                <w:szCs w:val="24"/>
                <w:lang w:val="zh-CN"/>
              </w:rPr>
              <w:t>本单位郑重承诺：</w:t>
            </w:r>
          </w:p>
          <w:p>
            <w:pPr>
              <w:pStyle w:val="61"/>
              <w:rPr>
                <w:rFonts w:ascii="Times New Roman" w:hAnsi="Times New Roman" w:eastAsiaTheme="minorEastAsia"/>
                <w:sz w:val="24"/>
                <w:szCs w:val="24"/>
                <w:lang w:val="zh-CN"/>
              </w:rPr>
            </w:pPr>
            <w:r>
              <w:rPr>
                <w:rFonts w:ascii="Times New Roman" w:hAnsi="Times New Roman" w:eastAsiaTheme="minorEastAsia"/>
                <w:sz w:val="24"/>
                <w:szCs w:val="24"/>
              </w:rPr>
              <w:t>1</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本单位所提供的材料及数据真实有效。</w:t>
            </w:r>
          </w:p>
          <w:p>
            <w:pPr>
              <w:pStyle w:val="61"/>
              <w:rPr>
                <w:rFonts w:ascii="Times New Roman" w:hAnsi="Times New Roman" w:eastAsiaTheme="minorEastAsia"/>
                <w:sz w:val="24"/>
                <w:szCs w:val="24"/>
                <w:lang w:val="zh-CN"/>
              </w:rPr>
            </w:pPr>
            <w:r>
              <w:rPr>
                <w:rFonts w:ascii="Times New Roman" w:hAnsi="Times New Roman" w:eastAsiaTheme="minorEastAsia"/>
                <w:sz w:val="24"/>
                <w:szCs w:val="24"/>
              </w:rPr>
              <w:t>2</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本项目不属于区域能评确定的负面清单范围。</w:t>
            </w:r>
          </w:p>
          <w:p>
            <w:pPr>
              <w:pStyle w:val="61"/>
              <w:rPr>
                <w:rFonts w:ascii="Times New Roman" w:hAnsi="Times New Roman" w:eastAsiaTheme="minorEastAsia"/>
                <w:sz w:val="24"/>
                <w:szCs w:val="24"/>
                <w:lang w:val="zh-CN"/>
              </w:rPr>
            </w:pPr>
            <w:r>
              <w:rPr>
                <w:rFonts w:ascii="Times New Roman" w:hAnsi="Times New Roman" w:eastAsiaTheme="minorEastAsia"/>
                <w:sz w:val="24"/>
                <w:szCs w:val="24"/>
              </w:rPr>
              <w:t>3</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本项目不属于国家产业结构调整指导目录中的限制类、淘汰类，且符合地方产业政策，符合区域产业发展规划要求。</w:t>
            </w:r>
          </w:p>
          <w:p>
            <w:pPr>
              <w:pStyle w:val="61"/>
              <w:rPr>
                <w:rFonts w:ascii="Times New Roman" w:hAnsi="Times New Roman" w:eastAsiaTheme="minorEastAsia"/>
                <w:sz w:val="24"/>
                <w:szCs w:val="24"/>
                <w:lang w:val="zh-CN"/>
              </w:rPr>
            </w:pPr>
            <w:r>
              <w:rPr>
                <w:rFonts w:ascii="Times New Roman" w:hAnsi="Times New Roman" w:eastAsiaTheme="minorEastAsia"/>
                <w:sz w:val="24"/>
                <w:szCs w:val="24"/>
              </w:rPr>
              <w:t>4</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本项目单位产品能耗、电耗、水耗达到国家、省行业能耗准入标准（没有准入标准的，执行限额标准或地方能效指南）。</w:t>
            </w:r>
          </w:p>
          <w:p>
            <w:pPr>
              <w:pStyle w:val="61"/>
              <w:rPr>
                <w:rFonts w:ascii="Times New Roman" w:hAnsi="Times New Roman" w:eastAsiaTheme="minorEastAsia"/>
                <w:sz w:val="24"/>
                <w:szCs w:val="24"/>
                <w:lang w:val="zh-CN"/>
              </w:rPr>
            </w:pPr>
            <w:r>
              <w:rPr>
                <w:rFonts w:ascii="Times New Roman" w:hAnsi="Times New Roman" w:eastAsiaTheme="minorEastAsia"/>
                <w:sz w:val="24"/>
                <w:szCs w:val="24"/>
                <w:lang w:val="zh-CN"/>
              </w:rPr>
              <w:t>5</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本项目达产后</w:t>
            </w:r>
            <w:r>
              <w:rPr>
                <w:rFonts w:hint="eastAsia" w:ascii="Times New Roman" w:hAnsi="Times New Roman" w:eastAsiaTheme="minorEastAsia"/>
                <w:sz w:val="24"/>
                <w:szCs w:val="24"/>
                <w:lang w:val="zh-CN"/>
              </w:rPr>
              <w:t>年</w:t>
            </w:r>
            <w:r>
              <w:rPr>
                <w:rFonts w:ascii="Times New Roman" w:hAnsi="Times New Roman" w:eastAsiaTheme="minorEastAsia"/>
                <w:sz w:val="24"/>
                <w:szCs w:val="24"/>
                <w:lang w:val="zh-CN"/>
              </w:rPr>
              <w:t>总用能量控制在</w:t>
            </w:r>
            <w:r>
              <w:rPr>
                <w:rFonts w:hint="eastAsia" w:ascii="Times New Roman" w:hAnsi="Times New Roman" w:eastAsiaTheme="minorEastAsia"/>
                <w:sz w:val="24"/>
                <w:szCs w:val="24"/>
                <w:lang w:val="zh-CN"/>
              </w:rPr>
              <w:t xml:space="preserve"> </w:t>
            </w:r>
            <w:r>
              <w:rPr>
                <w:rFonts w:ascii="Times New Roman" w:hAnsi="Times New Roman" w:eastAsiaTheme="minorEastAsia"/>
                <w:sz w:val="24"/>
                <w:szCs w:val="24"/>
                <w:u w:val="single"/>
                <w:lang w:val="zh-CN"/>
              </w:rPr>
              <w:t xml:space="preserve">           </w:t>
            </w:r>
            <w:r>
              <w:rPr>
                <w:rFonts w:ascii="Times New Roman" w:hAnsi="Times New Roman" w:eastAsiaTheme="minorEastAsia"/>
                <w:sz w:val="24"/>
                <w:szCs w:val="24"/>
                <w:lang w:val="zh-CN"/>
              </w:rPr>
              <w:t xml:space="preserve"> 吨标准煤（</w:t>
            </w:r>
            <w:r>
              <w:rPr>
                <w:rFonts w:ascii="Times New Roman" w:hAnsi="Times New Roman" w:eastAsiaTheme="minorEastAsia"/>
                <w:sz w:val="24"/>
                <w:szCs w:val="24"/>
              </w:rPr>
              <w:t>当量值</w:t>
            </w:r>
            <w:r>
              <w:rPr>
                <w:rFonts w:ascii="Times New Roman" w:hAnsi="Times New Roman" w:eastAsiaTheme="minorEastAsia"/>
                <w:sz w:val="24"/>
                <w:szCs w:val="24"/>
                <w:lang w:val="zh-CN"/>
              </w:rPr>
              <w:t>）以内。</w:t>
            </w:r>
          </w:p>
          <w:p>
            <w:pPr>
              <w:pStyle w:val="61"/>
              <w:rPr>
                <w:rFonts w:ascii="Times New Roman" w:hAnsi="Times New Roman" w:eastAsiaTheme="minorEastAsia"/>
                <w:sz w:val="24"/>
                <w:szCs w:val="24"/>
                <w:lang w:val="zh-CN"/>
              </w:rPr>
            </w:pPr>
            <w:r>
              <w:rPr>
                <w:rFonts w:ascii="Times New Roman" w:hAnsi="Times New Roman" w:eastAsiaTheme="minorEastAsia"/>
                <w:sz w:val="24"/>
                <w:szCs w:val="24"/>
                <w:lang w:val="zh-CN"/>
              </w:rPr>
              <w:t>6</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本项目主要用能设备选择符合国家相关节能技术标准，无国家明令禁止使用的淘汰落后设备。</w:t>
            </w:r>
          </w:p>
          <w:p>
            <w:pPr>
              <w:pStyle w:val="61"/>
              <w:rPr>
                <w:rFonts w:ascii="Times New Roman" w:hAnsi="Times New Roman" w:eastAsiaTheme="minorEastAsia"/>
                <w:sz w:val="24"/>
                <w:szCs w:val="24"/>
                <w:lang w:val="zh-CN"/>
              </w:rPr>
            </w:pPr>
            <w:r>
              <w:rPr>
                <w:rFonts w:ascii="Times New Roman" w:hAnsi="Times New Roman" w:eastAsiaTheme="minorEastAsia"/>
                <w:sz w:val="24"/>
                <w:szCs w:val="24"/>
                <w:lang w:val="zh-CN"/>
              </w:rPr>
              <w:t>7</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按规定配备相应的能源计量器具，落实能源计量管理。</w:t>
            </w:r>
          </w:p>
          <w:p>
            <w:pPr>
              <w:pStyle w:val="61"/>
              <w:rPr>
                <w:rFonts w:ascii="Times New Roman" w:hAnsi="Times New Roman" w:eastAsiaTheme="minorEastAsia"/>
                <w:sz w:val="24"/>
                <w:szCs w:val="24"/>
                <w:lang w:val="zh-CN"/>
              </w:rPr>
            </w:pPr>
            <w:r>
              <w:rPr>
                <w:rFonts w:ascii="Times New Roman" w:hAnsi="Times New Roman" w:eastAsiaTheme="minorEastAsia"/>
                <w:sz w:val="24"/>
                <w:szCs w:val="24"/>
                <w:lang w:val="zh-CN"/>
              </w:rPr>
              <w:t>8</w:t>
            </w:r>
            <w:r>
              <w:rPr>
                <w:rFonts w:hint="eastAsia" w:ascii="Times New Roman" w:hAnsi="Times New Roman" w:eastAsiaTheme="minorEastAsia"/>
                <w:sz w:val="24"/>
                <w:szCs w:val="24"/>
                <w:lang w:val="zh-CN"/>
              </w:rPr>
              <w:t>、</w:t>
            </w:r>
            <w:r>
              <w:rPr>
                <w:rFonts w:ascii="Times New Roman" w:hAnsi="Times New Roman" w:eastAsiaTheme="minorEastAsia"/>
                <w:sz w:val="24"/>
                <w:szCs w:val="24"/>
                <w:lang w:val="zh-CN"/>
              </w:rPr>
              <w:t>本项目实施过程中，将严格遵守国家相关节能法律法规政策。</w:t>
            </w:r>
          </w:p>
          <w:p>
            <w:pPr>
              <w:pStyle w:val="61"/>
              <w:rPr>
                <w:rFonts w:ascii="Times New Roman" w:hAnsi="Times New Roman" w:eastAsiaTheme="minorEastAsia"/>
                <w:sz w:val="24"/>
                <w:szCs w:val="24"/>
                <w:lang w:val="zh-CN"/>
              </w:rPr>
            </w:pPr>
          </w:p>
          <w:p>
            <w:pPr>
              <w:pStyle w:val="61"/>
              <w:rPr>
                <w:rFonts w:ascii="Times New Roman" w:hAnsi="Times New Roman" w:eastAsiaTheme="minorEastAsia"/>
                <w:sz w:val="24"/>
                <w:szCs w:val="24"/>
                <w:lang w:val="zh-CN"/>
              </w:rPr>
            </w:pPr>
          </w:p>
          <w:p>
            <w:pPr>
              <w:pStyle w:val="61"/>
              <w:rPr>
                <w:rFonts w:ascii="Times New Roman" w:hAnsi="Times New Roman" w:eastAsiaTheme="minorEastAsia"/>
                <w:sz w:val="24"/>
                <w:szCs w:val="24"/>
                <w:lang w:val="zh-CN"/>
              </w:rPr>
            </w:pPr>
          </w:p>
          <w:p>
            <w:pPr>
              <w:pStyle w:val="61"/>
              <w:wordWrap w:val="0"/>
              <w:spacing w:line="360" w:lineRule="auto"/>
              <w:jc w:val="right"/>
              <w:rPr>
                <w:rFonts w:ascii="Times New Roman" w:hAnsi="Times New Roman" w:eastAsiaTheme="minorEastAsia"/>
                <w:sz w:val="24"/>
                <w:szCs w:val="24"/>
                <w:lang w:val="zh-CN"/>
              </w:rPr>
            </w:pPr>
            <w:r>
              <w:rPr>
                <w:rFonts w:ascii="Times New Roman" w:hAnsi="Times New Roman" w:eastAsiaTheme="minorEastAsia"/>
                <w:sz w:val="24"/>
                <w:szCs w:val="24"/>
                <w:lang w:val="zh-CN"/>
              </w:rPr>
              <w:t>法定代表人（签字）：</w:t>
            </w:r>
            <w:r>
              <w:rPr>
                <w:rFonts w:hint="eastAsia" w:ascii="Times New Roman" w:hAnsi="Times New Roman" w:eastAsiaTheme="minorEastAsia"/>
                <w:sz w:val="24"/>
                <w:szCs w:val="24"/>
                <w:lang w:val="zh-CN"/>
              </w:rPr>
              <w:t xml:space="preserve"> </w:t>
            </w:r>
            <w:r>
              <w:rPr>
                <w:rFonts w:ascii="Times New Roman" w:hAnsi="Times New Roman" w:eastAsiaTheme="minorEastAsia"/>
                <w:sz w:val="24"/>
                <w:szCs w:val="24"/>
                <w:lang w:val="zh-CN"/>
              </w:rPr>
              <w:t xml:space="preserve">               </w:t>
            </w:r>
          </w:p>
          <w:p>
            <w:pPr>
              <w:pStyle w:val="61"/>
              <w:wordWrap w:val="0"/>
              <w:spacing w:line="360" w:lineRule="auto"/>
              <w:jc w:val="right"/>
              <w:rPr>
                <w:rFonts w:ascii="Times New Roman" w:hAnsi="Times New Roman" w:eastAsiaTheme="minorEastAsia"/>
                <w:sz w:val="24"/>
                <w:szCs w:val="24"/>
                <w:lang w:val="zh-CN"/>
              </w:rPr>
            </w:pPr>
            <w:r>
              <w:rPr>
                <w:rFonts w:ascii="Times New Roman" w:hAnsi="Times New Roman" w:eastAsiaTheme="minorEastAsia"/>
                <w:sz w:val="24"/>
                <w:szCs w:val="24"/>
                <w:lang w:val="zh-CN"/>
              </w:rPr>
              <w:t>企业（盖章）</w:t>
            </w:r>
            <w:r>
              <w:rPr>
                <w:rFonts w:hint="eastAsia" w:ascii="Times New Roman" w:hAnsi="Times New Roman" w:eastAsiaTheme="minorEastAsia"/>
                <w:sz w:val="24"/>
                <w:szCs w:val="24"/>
                <w:lang w:val="zh-CN"/>
              </w:rPr>
              <w:t xml:space="preserve">：  </w:t>
            </w:r>
            <w:r>
              <w:rPr>
                <w:rFonts w:ascii="Times New Roman" w:hAnsi="Times New Roman" w:eastAsiaTheme="minorEastAsia"/>
                <w:sz w:val="24"/>
                <w:szCs w:val="24"/>
                <w:lang w:val="zh-CN"/>
              </w:rPr>
              <w:t xml:space="preserve">              </w:t>
            </w:r>
          </w:p>
          <w:p>
            <w:pPr>
              <w:pStyle w:val="61"/>
              <w:wordWrap w:val="0"/>
              <w:spacing w:line="360" w:lineRule="auto"/>
              <w:jc w:val="right"/>
              <w:rPr>
                <w:rFonts w:ascii="Times New Roman" w:hAnsi="Times New Roman" w:eastAsiaTheme="minorEastAsia"/>
                <w:sz w:val="24"/>
                <w:szCs w:val="24"/>
                <w:lang w:val="zh-CN"/>
              </w:rPr>
            </w:pPr>
            <w:r>
              <w:rPr>
                <w:rFonts w:ascii="Times New Roman" w:hAnsi="Times New Roman" w:eastAsiaTheme="minorEastAsia"/>
                <w:sz w:val="24"/>
                <w:szCs w:val="24"/>
                <w:lang w:val="zh-CN"/>
              </w:rPr>
              <w:t>年   月   日</w:t>
            </w:r>
            <w:r>
              <w:rPr>
                <w:rFonts w:hint="eastAsia" w:ascii="Times New Roman" w:hAnsi="Times New Roman" w:eastAsiaTheme="minorEastAsia"/>
                <w:sz w:val="24"/>
                <w:szCs w:val="24"/>
                <w:lang w:val="zh-CN"/>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trHeight w:val="567" w:hRule="atLeast"/>
          <w:jc w:val="center"/>
        </w:trPr>
        <w:tc>
          <w:tcPr>
            <w:tcW w:w="9147" w:type="dxa"/>
            <w:gridSpan w:val="9"/>
            <w:tcBorders>
              <w:top w:val="single" w:color="000000" w:sz="8" w:space="0"/>
              <w:left w:val="single" w:color="000000" w:sz="8" w:space="0"/>
              <w:bottom w:val="single" w:color="000000" w:sz="8" w:space="0"/>
              <w:right w:val="single" w:color="000000" w:sz="8" w:space="0"/>
            </w:tcBorders>
            <w:vAlign w:val="center"/>
          </w:tcPr>
          <w:p>
            <w:pPr>
              <w:pStyle w:val="61"/>
              <w:jc w:val="left"/>
              <w:rPr>
                <w:rFonts w:ascii="Times New Roman" w:hAnsi="Times New Roman" w:eastAsiaTheme="minorEastAsia"/>
                <w:sz w:val="24"/>
                <w:szCs w:val="24"/>
                <w:lang w:val="zh-CN"/>
              </w:rPr>
            </w:pPr>
            <w:r>
              <w:rPr>
                <w:rFonts w:ascii="Times New Roman" w:hAnsi="Times New Roman" w:eastAsiaTheme="minorEastAsia"/>
                <w:sz w:val="24"/>
                <w:szCs w:val="24"/>
              </w:rPr>
              <w:t>区域管理机构</w:t>
            </w:r>
            <w:r>
              <w:rPr>
                <w:rFonts w:ascii="Times New Roman" w:hAnsi="Times New Roman" w:eastAsiaTheme="minorEastAsia"/>
                <w:sz w:val="24"/>
                <w:szCs w:val="24"/>
                <w:lang w:val="zh-CN"/>
              </w:rPr>
              <w:t>登记备案意见：</w:t>
            </w: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jc w:val="center"/>
              <w:rPr>
                <w:rFonts w:ascii="Times New Roman" w:hAnsi="Times New Roman" w:eastAsiaTheme="minorEastAsia"/>
                <w:sz w:val="24"/>
                <w:szCs w:val="24"/>
                <w:lang w:val="zh-CN"/>
              </w:rPr>
            </w:pPr>
          </w:p>
          <w:p>
            <w:pPr>
              <w:pStyle w:val="61"/>
              <w:wordWrap w:val="0"/>
              <w:spacing w:line="360" w:lineRule="auto"/>
              <w:jc w:val="right"/>
              <w:rPr>
                <w:rFonts w:ascii="Times New Roman" w:hAnsi="Times New Roman" w:eastAsiaTheme="minorEastAsia"/>
                <w:sz w:val="24"/>
                <w:szCs w:val="24"/>
                <w:lang w:val="zh-CN"/>
              </w:rPr>
            </w:pPr>
            <w:r>
              <w:rPr>
                <w:rFonts w:ascii="Times New Roman" w:hAnsi="Times New Roman" w:eastAsiaTheme="minorEastAsia"/>
                <w:sz w:val="24"/>
                <w:szCs w:val="24"/>
                <w:lang w:val="zh-CN"/>
              </w:rPr>
              <w:t>（盖章）</w:t>
            </w:r>
            <w:r>
              <w:rPr>
                <w:rFonts w:hint="eastAsia" w:ascii="Times New Roman" w:hAnsi="Times New Roman" w:eastAsiaTheme="minorEastAsia"/>
                <w:sz w:val="24"/>
                <w:szCs w:val="24"/>
                <w:lang w:val="zh-CN"/>
              </w:rPr>
              <w:t xml:space="preserve">：  </w:t>
            </w:r>
            <w:r>
              <w:rPr>
                <w:rFonts w:ascii="Times New Roman" w:hAnsi="Times New Roman" w:eastAsiaTheme="minorEastAsia"/>
                <w:sz w:val="24"/>
                <w:szCs w:val="24"/>
                <w:lang w:val="zh-CN"/>
              </w:rPr>
              <w:t xml:space="preserve">              </w:t>
            </w:r>
          </w:p>
          <w:p>
            <w:pPr>
              <w:pStyle w:val="61"/>
              <w:wordWrap w:val="0"/>
              <w:spacing w:line="360" w:lineRule="auto"/>
              <w:jc w:val="right"/>
              <w:rPr>
                <w:rFonts w:ascii="Times New Roman" w:hAnsi="Times New Roman" w:eastAsiaTheme="minorEastAsia"/>
                <w:sz w:val="24"/>
                <w:szCs w:val="24"/>
                <w:lang w:val="zh-CN"/>
              </w:rPr>
            </w:pPr>
            <w:r>
              <w:rPr>
                <w:rFonts w:ascii="Times New Roman" w:hAnsi="Times New Roman" w:eastAsiaTheme="minorEastAsia"/>
                <w:sz w:val="24"/>
                <w:szCs w:val="24"/>
                <w:lang w:val="zh-CN"/>
              </w:rPr>
              <w:t>年   月   日</w:t>
            </w:r>
            <w:r>
              <w:rPr>
                <w:rFonts w:hint="eastAsia" w:ascii="Times New Roman" w:hAnsi="Times New Roman" w:eastAsiaTheme="minorEastAsia"/>
                <w:sz w:val="24"/>
                <w:szCs w:val="24"/>
                <w:lang w:val="zh-CN"/>
              </w:rPr>
              <w:t xml:space="preserve"> </w:t>
            </w:r>
          </w:p>
        </w:tc>
      </w:tr>
    </w:tbl>
    <w:p>
      <w:pPr>
        <w:ind w:firstLine="0" w:firstLineChars="0"/>
        <w:rPr>
          <w:color w:val="auto"/>
          <w:sz w:val="24"/>
        </w:rPr>
        <w:sectPr>
          <w:headerReference r:id="rId12" w:type="default"/>
          <w:footerReference r:id="rId13" w:type="default"/>
          <w:pgSz w:w="11906" w:h="16838"/>
          <w:pgMar w:top="1440" w:right="1800" w:bottom="1440" w:left="1800" w:header="851" w:footer="992" w:gutter="0"/>
          <w:cols w:space="425" w:num="1"/>
          <w:docGrid w:type="lines" w:linePitch="381" w:charSpace="0"/>
        </w:sectPr>
      </w:pPr>
      <w:r>
        <w:rPr>
          <w:rFonts w:hint="eastAsia"/>
          <w:color w:val="auto"/>
          <w:sz w:val="24"/>
        </w:rPr>
        <w:t>注：各种能源及耗能工质折标准煤参考系数参照《综合能耗计算通则》（GB/T2589</w:t>
      </w:r>
      <w:r>
        <w:rPr>
          <w:rFonts w:hint="eastAsia" w:ascii="宋体" w:hAnsi="宋体"/>
          <w:color w:val="auto"/>
          <w:sz w:val="24"/>
        </w:rPr>
        <w:t>）</w:t>
      </w:r>
    </w:p>
    <w:p>
      <w:pPr>
        <w:ind w:firstLine="0" w:firstLineChars="0"/>
        <w:rPr>
          <w:color w:val="auto"/>
          <w:sz w:val="24"/>
        </w:rPr>
      </w:pPr>
      <w:r>
        <w:rPr>
          <w:color w:val="auto"/>
          <w:sz w:val="24"/>
        </w:rPr>
        <w:drawing>
          <wp:anchor distT="0" distB="0" distL="114300" distR="114300" simplePos="0" relativeHeight="251650048" behindDoc="0" locked="0" layoutInCell="1" allowOverlap="1">
            <wp:simplePos x="0" y="0"/>
            <wp:positionH relativeFrom="margin">
              <wp:posOffset>-1101090</wp:posOffset>
            </wp:positionH>
            <wp:positionV relativeFrom="margin">
              <wp:posOffset>-882650</wp:posOffset>
            </wp:positionV>
            <wp:extent cx="7495540" cy="1063244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495540" cy="1063244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7216" behindDoc="0" locked="0" layoutInCell="1" allowOverlap="1">
            <wp:simplePos x="0" y="0"/>
            <wp:positionH relativeFrom="margin">
              <wp:posOffset>-1000760</wp:posOffset>
            </wp:positionH>
            <wp:positionV relativeFrom="margin">
              <wp:posOffset>-851535</wp:posOffset>
            </wp:positionV>
            <wp:extent cx="7315200" cy="1065974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0" cy="1065974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1072" behindDoc="0" locked="0" layoutInCell="1" allowOverlap="1">
            <wp:simplePos x="0" y="0"/>
            <wp:positionH relativeFrom="margin">
              <wp:posOffset>-1096010</wp:posOffset>
            </wp:positionH>
            <wp:positionV relativeFrom="margin">
              <wp:posOffset>-520065</wp:posOffset>
            </wp:positionV>
            <wp:extent cx="7470775" cy="1062545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470775" cy="1062545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8240" behindDoc="0" locked="0" layoutInCell="1" allowOverlap="1">
            <wp:simplePos x="0" y="0"/>
            <wp:positionH relativeFrom="margin">
              <wp:posOffset>-1080135</wp:posOffset>
            </wp:positionH>
            <wp:positionV relativeFrom="margin">
              <wp:posOffset>-708660</wp:posOffset>
            </wp:positionV>
            <wp:extent cx="7409180" cy="1042860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409180" cy="1042860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9264" behindDoc="0" locked="0" layoutInCell="1" allowOverlap="1">
            <wp:simplePos x="0" y="0"/>
            <wp:positionH relativeFrom="margin">
              <wp:posOffset>-1089025</wp:posOffset>
            </wp:positionH>
            <wp:positionV relativeFrom="margin">
              <wp:posOffset>-887730</wp:posOffset>
            </wp:positionV>
            <wp:extent cx="7484745" cy="105905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84745" cy="1059053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0288" behindDoc="0" locked="0" layoutInCell="1" allowOverlap="1">
            <wp:simplePos x="0" y="0"/>
            <wp:positionH relativeFrom="margin">
              <wp:posOffset>-1089025</wp:posOffset>
            </wp:positionH>
            <wp:positionV relativeFrom="margin">
              <wp:posOffset>-802640</wp:posOffset>
            </wp:positionV>
            <wp:extent cx="7447280" cy="1048131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447280" cy="1048131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1312" behindDoc="0" locked="0" layoutInCell="1" allowOverlap="1">
            <wp:simplePos x="0" y="0"/>
            <wp:positionH relativeFrom="margin">
              <wp:posOffset>-1114425</wp:posOffset>
            </wp:positionH>
            <wp:positionV relativeFrom="margin">
              <wp:posOffset>-914400</wp:posOffset>
            </wp:positionV>
            <wp:extent cx="7466330" cy="1061783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66330" cy="1061783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2096" behindDoc="0" locked="0" layoutInCell="1" allowOverlap="1">
            <wp:simplePos x="0" y="0"/>
            <wp:positionH relativeFrom="margin">
              <wp:posOffset>-1143000</wp:posOffset>
            </wp:positionH>
            <wp:positionV relativeFrom="margin">
              <wp:posOffset>-871855</wp:posOffset>
            </wp:positionV>
            <wp:extent cx="7492365" cy="1062799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492365" cy="1062799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4384" behindDoc="0" locked="0" layoutInCell="1" allowOverlap="1">
            <wp:simplePos x="0" y="0"/>
            <wp:positionH relativeFrom="margin">
              <wp:posOffset>-1132840</wp:posOffset>
            </wp:positionH>
            <wp:positionV relativeFrom="margin">
              <wp:posOffset>-914400</wp:posOffset>
            </wp:positionV>
            <wp:extent cx="7520305" cy="1063244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20305" cy="1063244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5408" behindDoc="0" locked="0" layoutInCell="1" allowOverlap="1">
            <wp:simplePos x="0" y="0"/>
            <wp:positionH relativeFrom="margin">
              <wp:posOffset>-1143000</wp:posOffset>
            </wp:positionH>
            <wp:positionV relativeFrom="margin">
              <wp:posOffset>-893445</wp:posOffset>
            </wp:positionV>
            <wp:extent cx="7548880" cy="1061085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548880" cy="1061085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4144" behindDoc="0" locked="0" layoutInCell="1" allowOverlap="1">
            <wp:simplePos x="0" y="0"/>
            <wp:positionH relativeFrom="margin">
              <wp:posOffset>-1141730</wp:posOffset>
            </wp:positionH>
            <wp:positionV relativeFrom="margin">
              <wp:posOffset>-887095</wp:posOffset>
            </wp:positionV>
            <wp:extent cx="7539990" cy="1064514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39990" cy="1064514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2336" behindDoc="0" locked="0" layoutInCell="1" allowOverlap="1">
            <wp:simplePos x="0" y="0"/>
            <wp:positionH relativeFrom="margin">
              <wp:posOffset>-1088390</wp:posOffset>
            </wp:positionH>
            <wp:positionV relativeFrom="margin">
              <wp:posOffset>-914400</wp:posOffset>
            </wp:positionV>
            <wp:extent cx="7451090" cy="1070864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451090" cy="10708640"/>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63360" behindDoc="0" locked="0" layoutInCell="1" allowOverlap="1">
            <wp:simplePos x="0" y="0"/>
            <wp:positionH relativeFrom="margin">
              <wp:posOffset>-1143000</wp:posOffset>
            </wp:positionH>
            <wp:positionV relativeFrom="margin">
              <wp:posOffset>-914400</wp:posOffset>
            </wp:positionV>
            <wp:extent cx="7546975" cy="1065466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6975" cy="10654665"/>
                    </a:xfrm>
                    <a:prstGeom prst="rect">
                      <a:avLst/>
                    </a:prstGeom>
                  </pic:spPr>
                </pic:pic>
              </a:graphicData>
            </a:graphic>
          </wp:anchor>
        </w:drawing>
      </w:r>
      <w:r>
        <w:rPr>
          <w:color w:val="auto"/>
          <w:sz w:val="24"/>
        </w:rPr>
        <w:br w:type="page"/>
      </w:r>
    </w:p>
    <w:p>
      <w:pPr>
        <w:ind w:firstLine="0" w:firstLineChars="0"/>
        <w:rPr>
          <w:color w:val="auto"/>
          <w:sz w:val="24"/>
        </w:rPr>
      </w:pPr>
      <w:r>
        <w:rPr>
          <w:color w:val="auto"/>
          <w:sz w:val="24"/>
        </w:rPr>
        <w:drawing>
          <wp:anchor distT="0" distB="0" distL="114300" distR="114300" simplePos="0" relativeHeight="251656192" behindDoc="0" locked="0" layoutInCell="1" allowOverlap="1">
            <wp:simplePos x="0" y="0"/>
            <wp:positionH relativeFrom="margin">
              <wp:posOffset>-1133475</wp:posOffset>
            </wp:positionH>
            <wp:positionV relativeFrom="margin">
              <wp:posOffset>-942975</wp:posOffset>
            </wp:positionV>
            <wp:extent cx="7533005" cy="1067244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7533005" cy="10672445"/>
                    </a:xfrm>
                    <a:prstGeom prst="rect">
                      <a:avLst/>
                    </a:prstGeom>
                  </pic:spPr>
                </pic:pic>
              </a:graphicData>
            </a:graphic>
          </wp:anchor>
        </w:drawing>
      </w:r>
    </w:p>
    <w:sectPr>
      <w:pgSz w:w="11906" w:h="16838"/>
      <w:pgMar w:top="1440" w:right="1800" w:bottom="1440" w:left="1800"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2154031"/>
      <w:docPartObj>
        <w:docPartGallery w:val="autotext"/>
      </w:docPartObj>
    </w:sdtPr>
    <w:sdtEndPr>
      <w:rPr>
        <w:sz w:val="21"/>
      </w:rPr>
    </w:sdtEndPr>
    <w:sdtContent>
      <w:p>
        <w:pPr>
          <w:pStyle w:val="17"/>
          <w:ind w:firstLine="0" w:firstLineChars="0"/>
          <w:jc w:val="center"/>
          <w:rPr>
            <w:sz w:val="21"/>
          </w:rPr>
        </w:pPr>
        <w:r>
          <w:rPr>
            <w:sz w:val="21"/>
          </w:rPr>
          <w:fldChar w:fldCharType="begin"/>
        </w:r>
        <w:r>
          <w:rPr>
            <w:sz w:val="21"/>
          </w:rPr>
          <w:instrText xml:space="preserve">PAGE   \* MERGEFORMAT</w:instrText>
        </w:r>
        <w:r>
          <w:rPr>
            <w:sz w:val="21"/>
          </w:rPr>
          <w:fldChar w:fldCharType="separate"/>
        </w:r>
        <w:r>
          <w:rPr>
            <w:sz w:val="21"/>
            <w:lang w:val="zh-CN"/>
          </w:rPr>
          <w:t>I</w:t>
        </w:r>
        <w:r>
          <w:rPr>
            <w:sz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1800182"/>
      <w:docPartObj>
        <w:docPartGallery w:val="autotext"/>
      </w:docPartObj>
    </w:sdtPr>
    <w:sdtEndPr>
      <w:rPr>
        <w:sz w:val="21"/>
      </w:rPr>
    </w:sdtEndPr>
    <w:sdtContent>
      <w:p>
        <w:pPr>
          <w:pStyle w:val="17"/>
          <w:ind w:firstLine="0" w:firstLineChars="0"/>
          <w:jc w:val="center"/>
          <w:rPr>
            <w:sz w:val="21"/>
          </w:rPr>
        </w:pPr>
        <w:r>
          <w:rPr>
            <w:sz w:val="21"/>
          </w:rPr>
          <w:fldChar w:fldCharType="begin"/>
        </w:r>
        <w:r>
          <w:rPr>
            <w:sz w:val="21"/>
          </w:rPr>
          <w:instrText xml:space="preserve">PAGE   \* MERGEFORMAT</w:instrText>
        </w:r>
        <w:r>
          <w:rPr>
            <w:sz w:val="21"/>
          </w:rPr>
          <w:fldChar w:fldCharType="separate"/>
        </w:r>
        <w:r>
          <w:rPr>
            <w:sz w:val="21"/>
            <w:lang w:val="zh-CN"/>
          </w:rPr>
          <w:t>105</w:t>
        </w:r>
        <w:r>
          <w:rPr>
            <w:sz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4869890"/>
    </w:sdtPr>
    <w:sdtEndPr>
      <w:rPr>
        <w:sz w:val="21"/>
      </w:rPr>
    </w:sdtEndPr>
    <w:sdtContent>
      <w:p>
        <w:pPr>
          <w:pStyle w:val="17"/>
          <w:ind w:firstLine="0" w:firstLineChars="0"/>
          <w:jc w:val="center"/>
          <w:rPr>
            <w:sz w:val="21"/>
          </w:rPr>
        </w:pPr>
        <w:r>
          <w:rPr>
            <w:sz w:val="21"/>
          </w:rPr>
          <w:fldChar w:fldCharType="begin"/>
        </w:r>
        <w:r>
          <w:rPr>
            <w:sz w:val="21"/>
          </w:rPr>
          <w:instrText xml:space="preserve">PAGE   \* MERGEFORMAT</w:instrText>
        </w:r>
        <w:r>
          <w:rPr>
            <w:sz w:val="21"/>
          </w:rPr>
          <w:fldChar w:fldCharType="separate"/>
        </w:r>
        <w:r>
          <w:rPr>
            <w:sz w:val="21"/>
            <w:lang w:val="zh-CN"/>
          </w:rPr>
          <w:t>108</w:t>
        </w:r>
        <w:r>
          <w:rPr>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B0107"/>
    <w:multiLevelType w:val="singleLevel"/>
    <w:tmpl w:val="800B0107"/>
    <w:lvl w:ilvl="0" w:tentative="0">
      <w:start w:val="1"/>
      <w:numFmt w:val="decimal"/>
      <w:suff w:val="nothing"/>
      <w:lvlText w:val="（%1）"/>
      <w:lvlJc w:val="left"/>
    </w:lvl>
  </w:abstractNum>
  <w:abstractNum w:abstractNumId="1">
    <w:nsid w:val="021935B0"/>
    <w:multiLevelType w:val="multilevel"/>
    <w:tmpl w:val="021935B0"/>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9F4127E"/>
    <w:multiLevelType w:val="multilevel"/>
    <w:tmpl w:val="09F4127E"/>
    <w:lvl w:ilvl="0" w:tentative="0">
      <w:start w:val="1"/>
      <w:numFmt w:val="japaneseCounting"/>
      <w:pStyle w:val="2"/>
      <w:lvlText w:val="第%1章"/>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FC0794"/>
    <w:multiLevelType w:val="multilevel"/>
    <w:tmpl w:val="0EFC0794"/>
    <w:lvl w:ilvl="0" w:tentative="0">
      <w:start w:val="1"/>
      <w:numFmt w:val="decimal"/>
      <w:lvlText w:val="%1.）"/>
      <w:lvlJc w:val="left"/>
      <w:pPr>
        <w:ind w:left="980" w:hanging="420"/>
      </w:pPr>
      <w:rPr>
        <w:rFonts w:hint="eastAsia"/>
      </w:rPr>
    </w:lvl>
    <w:lvl w:ilvl="1" w:tentative="0">
      <w:start w:val="1"/>
      <w:numFmt w:val="decimal"/>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895D03"/>
    <w:multiLevelType w:val="multilevel"/>
    <w:tmpl w:val="15895D03"/>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2F591D82"/>
    <w:multiLevelType w:val="multilevel"/>
    <w:tmpl w:val="2F591D82"/>
    <w:lvl w:ilvl="0" w:tentative="0">
      <w:start w:val="1"/>
      <w:numFmt w:val="decimal"/>
      <w:suff w:val="nothing"/>
      <w:lvlText w:val="（%1）"/>
      <w:lvlJc w:val="left"/>
      <w:pPr>
        <w:ind w:left="420" w:hanging="420"/>
      </w:pPr>
      <w:rPr>
        <w:rFonts w:hint="eastAsia"/>
      </w:rPr>
    </w:lvl>
    <w:lvl w:ilvl="1" w:tentative="0">
      <w:start w:val="1"/>
      <w:numFmt w:val="decimalEnclosedCircle"/>
      <w:lvlText w:val="%2"/>
      <w:lvlJc w:val="left"/>
      <w:pPr>
        <w:ind w:left="1340" w:hanging="36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6532058F"/>
    <w:multiLevelType w:val="multilevel"/>
    <w:tmpl w:val="6532058F"/>
    <w:lvl w:ilvl="0" w:tentative="0">
      <w:start w:val="1"/>
      <w:numFmt w:val="decimal"/>
      <w:suff w:val="nothing"/>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6B821791"/>
    <w:multiLevelType w:val="multilevel"/>
    <w:tmpl w:val="6B82179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7CC14CD1"/>
    <w:multiLevelType w:val="multilevel"/>
    <w:tmpl w:val="7CC14CD1"/>
    <w:lvl w:ilvl="0" w:tentative="0">
      <w:start w:val="1"/>
      <w:numFmt w:val="decimal"/>
      <w:suff w:val="nothing"/>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D8681A5"/>
    <w:multiLevelType w:val="singleLevel"/>
    <w:tmpl w:val="7D8681A5"/>
    <w:lvl w:ilvl="0" w:tentative="0">
      <w:start w:val="1"/>
      <w:numFmt w:val="decimal"/>
      <w:suff w:val="nothing"/>
      <w:lvlText w:val="（%1）"/>
      <w:lvlJc w:val="left"/>
    </w:lvl>
  </w:abstractNum>
  <w:num w:numId="1">
    <w:abstractNumId w:val="2"/>
  </w:num>
  <w:num w:numId="2">
    <w:abstractNumId w:val="7"/>
  </w:num>
  <w:num w:numId="3">
    <w:abstractNumId w:val="1"/>
  </w:num>
  <w:num w:numId="4">
    <w:abstractNumId w:val="5"/>
  </w:num>
  <w:num w:numId="5">
    <w:abstractNumId w:val="6"/>
  </w:num>
  <w:num w:numId="6">
    <w:abstractNumId w:val="9"/>
  </w:num>
  <w:num w:numId="7">
    <w:abstractNumId w:val="0"/>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2A30"/>
    <w:rsid w:val="000009E3"/>
    <w:rsid w:val="00000F2A"/>
    <w:rsid w:val="000011BB"/>
    <w:rsid w:val="00001C65"/>
    <w:rsid w:val="00002EF7"/>
    <w:rsid w:val="00003BD9"/>
    <w:rsid w:val="00003C7F"/>
    <w:rsid w:val="00003EE2"/>
    <w:rsid w:val="000048DE"/>
    <w:rsid w:val="00006249"/>
    <w:rsid w:val="00006C8F"/>
    <w:rsid w:val="000072D3"/>
    <w:rsid w:val="00007FB7"/>
    <w:rsid w:val="00010804"/>
    <w:rsid w:val="00011B6B"/>
    <w:rsid w:val="00012898"/>
    <w:rsid w:val="0001300B"/>
    <w:rsid w:val="000139BB"/>
    <w:rsid w:val="00013B67"/>
    <w:rsid w:val="000145DB"/>
    <w:rsid w:val="00014674"/>
    <w:rsid w:val="000147E6"/>
    <w:rsid w:val="000148A3"/>
    <w:rsid w:val="00015049"/>
    <w:rsid w:val="000157A6"/>
    <w:rsid w:val="00015A23"/>
    <w:rsid w:val="00015AAF"/>
    <w:rsid w:val="000169A2"/>
    <w:rsid w:val="000174DB"/>
    <w:rsid w:val="0001750E"/>
    <w:rsid w:val="000176A5"/>
    <w:rsid w:val="00017C43"/>
    <w:rsid w:val="000201C7"/>
    <w:rsid w:val="00020303"/>
    <w:rsid w:val="00020FA6"/>
    <w:rsid w:val="000219EB"/>
    <w:rsid w:val="00021CAD"/>
    <w:rsid w:val="00022027"/>
    <w:rsid w:val="00022BD9"/>
    <w:rsid w:val="00022C4C"/>
    <w:rsid w:val="00022C7C"/>
    <w:rsid w:val="00022DA4"/>
    <w:rsid w:val="00022DD0"/>
    <w:rsid w:val="0002313D"/>
    <w:rsid w:val="00023D84"/>
    <w:rsid w:val="0002514B"/>
    <w:rsid w:val="0002527C"/>
    <w:rsid w:val="000252E4"/>
    <w:rsid w:val="00025364"/>
    <w:rsid w:val="00025563"/>
    <w:rsid w:val="000274D5"/>
    <w:rsid w:val="000300F2"/>
    <w:rsid w:val="0003034C"/>
    <w:rsid w:val="00030D2C"/>
    <w:rsid w:val="00030FFC"/>
    <w:rsid w:val="00031965"/>
    <w:rsid w:val="000319FE"/>
    <w:rsid w:val="0003243C"/>
    <w:rsid w:val="00032F6A"/>
    <w:rsid w:val="00034C63"/>
    <w:rsid w:val="00034D1A"/>
    <w:rsid w:val="00034F1A"/>
    <w:rsid w:val="00035CB9"/>
    <w:rsid w:val="00035F73"/>
    <w:rsid w:val="0003600F"/>
    <w:rsid w:val="000363FC"/>
    <w:rsid w:val="00037C98"/>
    <w:rsid w:val="00037D01"/>
    <w:rsid w:val="00037F88"/>
    <w:rsid w:val="0004000A"/>
    <w:rsid w:val="000419C6"/>
    <w:rsid w:val="00041B54"/>
    <w:rsid w:val="000425D7"/>
    <w:rsid w:val="00042650"/>
    <w:rsid w:val="00042C8E"/>
    <w:rsid w:val="00044B90"/>
    <w:rsid w:val="00045374"/>
    <w:rsid w:val="00045834"/>
    <w:rsid w:val="00045972"/>
    <w:rsid w:val="00045B0F"/>
    <w:rsid w:val="0004638A"/>
    <w:rsid w:val="000465E4"/>
    <w:rsid w:val="00046D25"/>
    <w:rsid w:val="000471CC"/>
    <w:rsid w:val="000512AC"/>
    <w:rsid w:val="00051496"/>
    <w:rsid w:val="00051AA6"/>
    <w:rsid w:val="00051CB6"/>
    <w:rsid w:val="00051EA0"/>
    <w:rsid w:val="00052899"/>
    <w:rsid w:val="00052A01"/>
    <w:rsid w:val="00052C8C"/>
    <w:rsid w:val="00053169"/>
    <w:rsid w:val="00054146"/>
    <w:rsid w:val="00054918"/>
    <w:rsid w:val="000549E5"/>
    <w:rsid w:val="000562B4"/>
    <w:rsid w:val="000563EB"/>
    <w:rsid w:val="000578A2"/>
    <w:rsid w:val="00057C5A"/>
    <w:rsid w:val="00057D26"/>
    <w:rsid w:val="00060C27"/>
    <w:rsid w:val="00061EDD"/>
    <w:rsid w:val="00062502"/>
    <w:rsid w:val="00062E82"/>
    <w:rsid w:val="00063171"/>
    <w:rsid w:val="00063345"/>
    <w:rsid w:val="000638C1"/>
    <w:rsid w:val="00064C8F"/>
    <w:rsid w:val="000652DE"/>
    <w:rsid w:val="00065DB4"/>
    <w:rsid w:val="0006658E"/>
    <w:rsid w:val="00066A8F"/>
    <w:rsid w:val="000705D7"/>
    <w:rsid w:val="000709E1"/>
    <w:rsid w:val="00071DB9"/>
    <w:rsid w:val="000720F0"/>
    <w:rsid w:val="000722CA"/>
    <w:rsid w:val="00072666"/>
    <w:rsid w:val="000735C6"/>
    <w:rsid w:val="0007476C"/>
    <w:rsid w:val="00076550"/>
    <w:rsid w:val="00076E64"/>
    <w:rsid w:val="0007701D"/>
    <w:rsid w:val="0007735F"/>
    <w:rsid w:val="000779D8"/>
    <w:rsid w:val="00077DF0"/>
    <w:rsid w:val="00077F00"/>
    <w:rsid w:val="00080768"/>
    <w:rsid w:val="00082475"/>
    <w:rsid w:val="00083439"/>
    <w:rsid w:val="000845A3"/>
    <w:rsid w:val="0008487C"/>
    <w:rsid w:val="00084EA3"/>
    <w:rsid w:val="00084EE6"/>
    <w:rsid w:val="00085114"/>
    <w:rsid w:val="00085562"/>
    <w:rsid w:val="0008558E"/>
    <w:rsid w:val="0008596B"/>
    <w:rsid w:val="00085BCF"/>
    <w:rsid w:val="00086412"/>
    <w:rsid w:val="00086555"/>
    <w:rsid w:val="00087A46"/>
    <w:rsid w:val="00090818"/>
    <w:rsid w:val="00090B96"/>
    <w:rsid w:val="00091C8C"/>
    <w:rsid w:val="000928F0"/>
    <w:rsid w:val="000929D6"/>
    <w:rsid w:val="00092ABB"/>
    <w:rsid w:val="00093000"/>
    <w:rsid w:val="00093295"/>
    <w:rsid w:val="0009335F"/>
    <w:rsid w:val="00093589"/>
    <w:rsid w:val="00093735"/>
    <w:rsid w:val="00093AB3"/>
    <w:rsid w:val="000948EA"/>
    <w:rsid w:val="0009565B"/>
    <w:rsid w:val="00095800"/>
    <w:rsid w:val="00095CC5"/>
    <w:rsid w:val="00096447"/>
    <w:rsid w:val="000965E3"/>
    <w:rsid w:val="000A07C5"/>
    <w:rsid w:val="000A12CC"/>
    <w:rsid w:val="000A24E7"/>
    <w:rsid w:val="000A33DD"/>
    <w:rsid w:val="000A3B98"/>
    <w:rsid w:val="000A3DC0"/>
    <w:rsid w:val="000A3F63"/>
    <w:rsid w:val="000A5473"/>
    <w:rsid w:val="000A549C"/>
    <w:rsid w:val="000A56AE"/>
    <w:rsid w:val="000A570E"/>
    <w:rsid w:val="000A5A50"/>
    <w:rsid w:val="000A5A84"/>
    <w:rsid w:val="000A5C49"/>
    <w:rsid w:val="000A5CEC"/>
    <w:rsid w:val="000A5D78"/>
    <w:rsid w:val="000A7249"/>
    <w:rsid w:val="000A748A"/>
    <w:rsid w:val="000B00D5"/>
    <w:rsid w:val="000B107C"/>
    <w:rsid w:val="000B10DF"/>
    <w:rsid w:val="000B1249"/>
    <w:rsid w:val="000B24EB"/>
    <w:rsid w:val="000B2CA9"/>
    <w:rsid w:val="000B3059"/>
    <w:rsid w:val="000B3837"/>
    <w:rsid w:val="000B3CC0"/>
    <w:rsid w:val="000B46BC"/>
    <w:rsid w:val="000B50C8"/>
    <w:rsid w:val="000B5F74"/>
    <w:rsid w:val="000B6211"/>
    <w:rsid w:val="000B6A5E"/>
    <w:rsid w:val="000B771A"/>
    <w:rsid w:val="000B7B0A"/>
    <w:rsid w:val="000B7D43"/>
    <w:rsid w:val="000C1FB8"/>
    <w:rsid w:val="000C2131"/>
    <w:rsid w:val="000C2E3D"/>
    <w:rsid w:val="000C2FB8"/>
    <w:rsid w:val="000C35B1"/>
    <w:rsid w:val="000C37BC"/>
    <w:rsid w:val="000C3A11"/>
    <w:rsid w:val="000C3E84"/>
    <w:rsid w:val="000C42F1"/>
    <w:rsid w:val="000C4AAF"/>
    <w:rsid w:val="000C54E5"/>
    <w:rsid w:val="000C5E8C"/>
    <w:rsid w:val="000C644C"/>
    <w:rsid w:val="000C653B"/>
    <w:rsid w:val="000C67DB"/>
    <w:rsid w:val="000C69F9"/>
    <w:rsid w:val="000C6E2E"/>
    <w:rsid w:val="000C7248"/>
    <w:rsid w:val="000D056E"/>
    <w:rsid w:val="000D0B94"/>
    <w:rsid w:val="000D14BA"/>
    <w:rsid w:val="000D1CDE"/>
    <w:rsid w:val="000D25BB"/>
    <w:rsid w:val="000D42F8"/>
    <w:rsid w:val="000D43F2"/>
    <w:rsid w:val="000D4516"/>
    <w:rsid w:val="000D4DCB"/>
    <w:rsid w:val="000D5146"/>
    <w:rsid w:val="000D578F"/>
    <w:rsid w:val="000D6551"/>
    <w:rsid w:val="000D71DF"/>
    <w:rsid w:val="000E0D4E"/>
    <w:rsid w:val="000E134C"/>
    <w:rsid w:val="000E2396"/>
    <w:rsid w:val="000E31A8"/>
    <w:rsid w:val="000E3B4F"/>
    <w:rsid w:val="000E429B"/>
    <w:rsid w:val="000E439A"/>
    <w:rsid w:val="000E51E2"/>
    <w:rsid w:val="000E5BD0"/>
    <w:rsid w:val="000E604C"/>
    <w:rsid w:val="000E6AC0"/>
    <w:rsid w:val="000E79EF"/>
    <w:rsid w:val="000F0B38"/>
    <w:rsid w:val="000F1DA5"/>
    <w:rsid w:val="000F22E0"/>
    <w:rsid w:val="000F23B0"/>
    <w:rsid w:val="000F3102"/>
    <w:rsid w:val="000F318B"/>
    <w:rsid w:val="000F3554"/>
    <w:rsid w:val="000F3FE8"/>
    <w:rsid w:val="000F474E"/>
    <w:rsid w:val="000F4CD5"/>
    <w:rsid w:val="000F5955"/>
    <w:rsid w:val="000F5ED5"/>
    <w:rsid w:val="000F6F1A"/>
    <w:rsid w:val="000F776D"/>
    <w:rsid w:val="000F7BAF"/>
    <w:rsid w:val="000F7F55"/>
    <w:rsid w:val="00100D32"/>
    <w:rsid w:val="00101174"/>
    <w:rsid w:val="001011D8"/>
    <w:rsid w:val="001016E8"/>
    <w:rsid w:val="0010288C"/>
    <w:rsid w:val="001028E4"/>
    <w:rsid w:val="00103257"/>
    <w:rsid w:val="00103264"/>
    <w:rsid w:val="001048EE"/>
    <w:rsid w:val="00105281"/>
    <w:rsid w:val="00105502"/>
    <w:rsid w:val="00105704"/>
    <w:rsid w:val="00105F8F"/>
    <w:rsid w:val="001061BC"/>
    <w:rsid w:val="00106BD3"/>
    <w:rsid w:val="00106EB8"/>
    <w:rsid w:val="0010764A"/>
    <w:rsid w:val="00107A50"/>
    <w:rsid w:val="00107B51"/>
    <w:rsid w:val="00110A5E"/>
    <w:rsid w:val="00111167"/>
    <w:rsid w:val="001121B1"/>
    <w:rsid w:val="00112CB8"/>
    <w:rsid w:val="0011319A"/>
    <w:rsid w:val="0011459B"/>
    <w:rsid w:val="00114A83"/>
    <w:rsid w:val="00115062"/>
    <w:rsid w:val="001159D7"/>
    <w:rsid w:val="00116C0F"/>
    <w:rsid w:val="001171E0"/>
    <w:rsid w:val="00117A4B"/>
    <w:rsid w:val="00117C94"/>
    <w:rsid w:val="001213F2"/>
    <w:rsid w:val="00121CF0"/>
    <w:rsid w:val="001235E0"/>
    <w:rsid w:val="00123B8C"/>
    <w:rsid w:val="0012487D"/>
    <w:rsid w:val="00124FB1"/>
    <w:rsid w:val="00125623"/>
    <w:rsid w:val="001259E1"/>
    <w:rsid w:val="00125EC8"/>
    <w:rsid w:val="00125F44"/>
    <w:rsid w:val="00125FC1"/>
    <w:rsid w:val="001268D8"/>
    <w:rsid w:val="0012756D"/>
    <w:rsid w:val="00127836"/>
    <w:rsid w:val="00130051"/>
    <w:rsid w:val="00130B61"/>
    <w:rsid w:val="00130F80"/>
    <w:rsid w:val="001315A7"/>
    <w:rsid w:val="001316BD"/>
    <w:rsid w:val="00131855"/>
    <w:rsid w:val="00131D71"/>
    <w:rsid w:val="00131E28"/>
    <w:rsid w:val="00132986"/>
    <w:rsid w:val="00132B36"/>
    <w:rsid w:val="00132F03"/>
    <w:rsid w:val="00133615"/>
    <w:rsid w:val="00133932"/>
    <w:rsid w:val="00133C40"/>
    <w:rsid w:val="001343A6"/>
    <w:rsid w:val="00135370"/>
    <w:rsid w:val="00135D0B"/>
    <w:rsid w:val="00135DB1"/>
    <w:rsid w:val="00136A70"/>
    <w:rsid w:val="00136F73"/>
    <w:rsid w:val="0014013C"/>
    <w:rsid w:val="00140625"/>
    <w:rsid w:val="00140638"/>
    <w:rsid w:val="00141285"/>
    <w:rsid w:val="00141696"/>
    <w:rsid w:val="0014199C"/>
    <w:rsid w:val="00141BAF"/>
    <w:rsid w:val="00141BD6"/>
    <w:rsid w:val="00141DA9"/>
    <w:rsid w:val="00141E88"/>
    <w:rsid w:val="001439D1"/>
    <w:rsid w:val="001441A0"/>
    <w:rsid w:val="0014466D"/>
    <w:rsid w:val="00144ECE"/>
    <w:rsid w:val="0014512B"/>
    <w:rsid w:val="0014554A"/>
    <w:rsid w:val="00145559"/>
    <w:rsid w:val="0014576F"/>
    <w:rsid w:val="00146040"/>
    <w:rsid w:val="00147378"/>
    <w:rsid w:val="00147489"/>
    <w:rsid w:val="00147BC2"/>
    <w:rsid w:val="00147BE0"/>
    <w:rsid w:val="00150196"/>
    <w:rsid w:val="0015065B"/>
    <w:rsid w:val="0015213C"/>
    <w:rsid w:val="00152199"/>
    <w:rsid w:val="00152300"/>
    <w:rsid w:val="00154651"/>
    <w:rsid w:val="001557FD"/>
    <w:rsid w:val="001558C4"/>
    <w:rsid w:val="00155D28"/>
    <w:rsid w:val="00156024"/>
    <w:rsid w:val="00156EF3"/>
    <w:rsid w:val="00161D86"/>
    <w:rsid w:val="00162448"/>
    <w:rsid w:val="0016264E"/>
    <w:rsid w:val="00162907"/>
    <w:rsid w:val="00162EC2"/>
    <w:rsid w:val="001634D1"/>
    <w:rsid w:val="00163784"/>
    <w:rsid w:val="001640AA"/>
    <w:rsid w:val="0016410D"/>
    <w:rsid w:val="00164672"/>
    <w:rsid w:val="0016494C"/>
    <w:rsid w:val="001649F8"/>
    <w:rsid w:val="00164ABC"/>
    <w:rsid w:val="0016514E"/>
    <w:rsid w:val="00165444"/>
    <w:rsid w:val="001658DF"/>
    <w:rsid w:val="00165D58"/>
    <w:rsid w:val="0016691A"/>
    <w:rsid w:val="001678EB"/>
    <w:rsid w:val="00167BE9"/>
    <w:rsid w:val="00167CA6"/>
    <w:rsid w:val="00170555"/>
    <w:rsid w:val="001709CA"/>
    <w:rsid w:val="00171517"/>
    <w:rsid w:val="001719FF"/>
    <w:rsid w:val="00172BCB"/>
    <w:rsid w:val="0017315A"/>
    <w:rsid w:val="0017329E"/>
    <w:rsid w:val="0017377F"/>
    <w:rsid w:val="00173E52"/>
    <w:rsid w:val="00174518"/>
    <w:rsid w:val="001750EF"/>
    <w:rsid w:val="00175457"/>
    <w:rsid w:val="0017564E"/>
    <w:rsid w:val="001767C3"/>
    <w:rsid w:val="0017686B"/>
    <w:rsid w:val="001779C5"/>
    <w:rsid w:val="001779FC"/>
    <w:rsid w:val="00180CAA"/>
    <w:rsid w:val="0018121F"/>
    <w:rsid w:val="001813FD"/>
    <w:rsid w:val="00181939"/>
    <w:rsid w:val="00181EC1"/>
    <w:rsid w:val="00182971"/>
    <w:rsid w:val="0018541A"/>
    <w:rsid w:val="00185624"/>
    <w:rsid w:val="00185C73"/>
    <w:rsid w:val="0018615F"/>
    <w:rsid w:val="0018618B"/>
    <w:rsid w:val="00186952"/>
    <w:rsid w:val="00186FF3"/>
    <w:rsid w:val="001879F4"/>
    <w:rsid w:val="00187DBB"/>
    <w:rsid w:val="00187F55"/>
    <w:rsid w:val="001902A4"/>
    <w:rsid w:val="00190BFE"/>
    <w:rsid w:val="00190C8C"/>
    <w:rsid w:val="0019122D"/>
    <w:rsid w:val="0019124C"/>
    <w:rsid w:val="00191450"/>
    <w:rsid w:val="001919AC"/>
    <w:rsid w:val="00191B96"/>
    <w:rsid w:val="00191F5F"/>
    <w:rsid w:val="001920F7"/>
    <w:rsid w:val="001932CD"/>
    <w:rsid w:val="00193A34"/>
    <w:rsid w:val="00193A79"/>
    <w:rsid w:val="00194166"/>
    <w:rsid w:val="00194A7B"/>
    <w:rsid w:val="00194E4B"/>
    <w:rsid w:val="00194EEA"/>
    <w:rsid w:val="00194FEA"/>
    <w:rsid w:val="0019556B"/>
    <w:rsid w:val="001963FA"/>
    <w:rsid w:val="00196C83"/>
    <w:rsid w:val="001973DD"/>
    <w:rsid w:val="00197688"/>
    <w:rsid w:val="001A0027"/>
    <w:rsid w:val="001A0E4C"/>
    <w:rsid w:val="001A1D81"/>
    <w:rsid w:val="001A1DF1"/>
    <w:rsid w:val="001A2082"/>
    <w:rsid w:val="001A3050"/>
    <w:rsid w:val="001A34D2"/>
    <w:rsid w:val="001A3C4C"/>
    <w:rsid w:val="001A3E93"/>
    <w:rsid w:val="001A46B8"/>
    <w:rsid w:val="001A576C"/>
    <w:rsid w:val="001A58DF"/>
    <w:rsid w:val="001A6272"/>
    <w:rsid w:val="001A64AD"/>
    <w:rsid w:val="001A67A4"/>
    <w:rsid w:val="001A6AFF"/>
    <w:rsid w:val="001A6E1B"/>
    <w:rsid w:val="001A6EB8"/>
    <w:rsid w:val="001A72D3"/>
    <w:rsid w:val="001A7C32"/>
    <w:rsid w:val="001A7D46"/>
    <w:rsid w:val="001A7FCF"/>
    <w:rsid w:val="001B05A1"/>
    <w:rsid w:val="001B0854"/>
    <w:rsid w:val="001B1457"/>
    <w:rsid w:val="001B186D"/>
    <w:rsid w:val="001B1C51"/>
    <w:rsid w:val="001B2219"/>
    <w:rsid w:val="001B255F"/>
    <w:rsid w:val="001B26E6"/>
    <w:rsid w:val="001B2B59"/>
    <w:rsid w:val="001B3391"/>
    <w:rsid w:val="001B3FDB"/>
    <w:rsid w:val="001B4352"/>
    <w:rsid w:val="001B46AE"/>
    <w:rsid w:val="001B46F3"/>
    <w:rsid w:val="001B4A1B"/>
    <w:rsid w:val="001B4F10"/>
    <w:rsid w:val="001B527B"/>
    <w:rsid w:val="001B53CC"/>
    <w:rsid w:val="001B5544"/>
    <w:rsid w:val="001B5CD4"/>
    <w:rsid w:val="001B5CF9"/>
    <w:rsid w:val="001B720F"/>
    <w:rsid w:val="001B7498"/>
    <w:rsid w:val="001C0479"/>
    <w:rsid w:val="001C0C3C"/>
    <w:rsid w:val="001C0F8E"/>
    <w:rsid w:val="001C286B"/>
    <w:rsid w:val="001C2A8D"/>
    <w:rsid w:val="001C3EAB"/>
    <w:rsid w:val="001C4A20"/>
    <w:rsid w:val="001C5465"/>
    <w:rsid w:val="001C584B"/>
    <w:rsid w:val="001C5B46"/>
    <w:rsid w:val="001C6781"/>
    <w:rsid w:val="001C6D3B"/>
    <w:rsid w:val="001C71C3"/>
    <w:rsid w:val="001C7BD4"/>
    <w:rsid w:val="001D0004"/>
    <w:rsid w:val="001D02AE"/>
    <w:rsid w:val="001D034D"/>
    <w:rsid w:val="001D0705"/>
    <w:rsid w:val="001D0CDF"/>
    <w:rsid w:val="001D0CEC"/>
    <w:rsid w:val="001D331E"/>
    <w:rsid w:val="001D3F37"/>
    <w:rsid w:val="001D47C9"/>
    <w:rsid w:val="001D4992"/>
    <w:rsid w:val="001D52EA"/>
    <w:rsid w:val="001D5CEC"/>
    <w:rsid w:val="001D6F32"/>
    <w:rsid w:val="001D7F2C"/>
    <w:rsid w:val="001E0509"/>
    <w:rsid w:val="001E0708"/>
    <w:rsid w:val="001E0F15"/>
    <w:rsid w:val="001E10A3"/>
    <w:rsid w:val="001E10C6"/>
    <w:rsid w:val="001E212E"/>
    <w:rsid w:val="001E2BBC"/>
    <w:rsid w:val="001E33BC"/>
    <w:rsid w:val="001E42E4"/>
    <w:rsid w:val="001E439E"/>
    <w:rsid w:val="001E449C"/>
    <w:rsid w:val="001E4FA9"/>
    <w:rsid w:val="001E6050"/>
    <w:rsid w:val="001E6648"/>
    <w:rsid w:val="001E67D4"/>
    <w:rsid w:val="001E6CC7"/>
    <w:rsid w:val="001E705E"/>
    <w:rsid w:val="001E7153"/>
    <w:rsid w:val="001E75BD"/>
    <w:rsid w:val="001E7622"/>
    <w:rsid w:val="001E76C6"/>
    <w:rsid w:val="001F0142"/>
    <w:rsid w:val="001F01DF"/>
    <w:rsid w:val="001F0521"/>
    <w:rsid w:val="001F0DC5"/>
    <w:rsid w:val="001F0E11"/>
    <w:rsid w:val="001F0FF7"/>
    <w:rsid w:val="001F1793"/>
    <w:rsid w:val="001F1F88"/>
    <w:rsid w:val="001F2245"/>
    <w:rsid w:val="001F2E86"/>
    <w:rsid w:val="001F386F"/>
    <w:rsid w:val="001F4A11"/>
    <w:rsid w:val="001F4D98"/>
    <w:rsid w:val="001F59BB"/>
    <w:rsid w:val="001F5A02"/>
    <w:rsid w:val="001F6761"/>
    <w:rsid w:val="001F68EA"/>
    <w:rsid w:val="001F69A8"/>
    <w:rsid w:val="001F6FE3"/>
    <w:rsid w:val="001F70E5"/>
    <w:rsid w:val="001F739F"/>
    <w:rsid w:val="002000B8"/>
    <w:rsid w:val="00200515"/>
    <w:rsid w:val="002008C1"/>
    <w:rsid w:val="00200901"/>
    <w:rsid w:val="00200B5B"/>
    <w:rsid w:val="0020119F"/>
    <w:rsid w:val="00201466"/>
    <w:rsid w:val="00201BEF"/>
    <w:rsid w:val="002036A4"/>
    <w:rsid w:val="0020480C"/>
    <w:rsid w:val="00204EEA"/>
    <w:rsid w:val="0020521E"/>
    <w:rsid w:val="0020544C"/>
    <w:rsid w:val="00205DEB"/>
    <w:rsid w:val="002060A7"/>
    <w:rsid w:val="002060D1"/>
    <w:rsid w:val="002062E5"/>
    <w:rsid w:val="002071FD"/>
    <w:rsid w:val="002073AD"/>
    <w:rsid w:val="00207A1E"/>
    <w:rsid w:val="00210062"/>
    <w:rsid w:val="0021071A"/>
    <w:rsid w:val="002117E4"/>
    <w:rsid w:val="002121EE"/>
    <w:rsid w:val="00212B12"/>
    <w:rsid w:val="0021314F"/>
    <w:rsid w:val="00213EB7"/>
    <w:rsid w:val="00214129"/>
    <w:rsid w:val="002152D1"/>
    <w:rsid w:val="002163B5"/>
    <w:rsid w:val="00217534"/>
    <w:rsid w:val="002179DE"/>
    <w:rsid w:val="00220C15"/>
    <w:rsid w:val="00220DF7"/>
    <w:rsid w:val="00220FCE"/>
    <w:rsid w:val="002210FF"/>
    <w:rsid w:val="00221203"/>
    <w:rsid w:val="00221340"/>
    <w:rsid w:val="00221513"/>
    <w:rsid w:val="00221841"/>
    <w:rsid w:val="00222349"/>
    <w:rsid w:val="00222464"/>
    <w:rsid w:val="002227BE"/>
    <w:rsid w:val="00222AC9"/>
    <w:rsid w:val="00222B72"/>
    <w:rsid w:val="00222FFE"/>
    <w:rsid w:val="002231E1"/>
    <w:rsid w:val="002235A1"/>
    <w:rsid w:val="002235D8"/>
    <w:rsid w:val="00223D30"/>
    <w:rsid w:val="002249D0"/>
    <w:rsid w:val="002255FD"/>
    <w:rsid w:val="0022561C"/>
    <w:rsid w:val="00225A47"/>
    <w:rsid w:val="00226080"/>
    <w:rsid w:val="00226205"/>
    <w:rsid w:val="00226865"/>
    <w:rsid w:val="002269C7"/>
    <w:rsid w:val="00227055"/>
    <w:rsid w:val="0023115C"/>
    <w:rsid w:val="00231A26"/>
    <w:rsid w:val="00231BF6"/>
    <w:rsid w:val="00232907"/>
    <w:rsid w:val="002334DE"/>
    <w:rsid w:val="00233672"/>
    <w:rsid w:val="00233968"/>
    <w:rsid w:val="00233D52"/>
    <w:rsid w:val="0023450F"/>
    <w:rsid w:val="002346DA"/>
    <w:rsid w:val="002347D0"/>
    <w:rsid w:val="00234BD2"/>
    <w:rsid w:val="00235306"/>
    <w:rsid w:val="0023574C"/>
    <w:rsid w:val="00236130"/>
    <w:rsid w:val="00236574"/>
    <w:rsid w:val="00236BFF"/>
    <w:rsid w:val="00236F6F"/>
    <w:rsid w:val="0023791F"/>
    <w:rsid w:val="00237AA8"/>
    <w:rsid w:val="00237AB8"/>
    <w:rsid w:val="00237E01"/>
    <w:rsid w:val="00237FCC"/>
    <w:rsid w:val="0024010D"/>
    <w:rsid w:val="002403CF"/>
    <w:rsid w:val="00240A03"/>
    <w:rsid w:val="00240E02"/>
    <w:rsid w:val="0024185F"/>
    <w:rsid w:val="00241959"/>
    <w:rsid w:val="00242E7A"/>
    <w:rsid w:val="002432A3"/>
    <w:rsid w:val="002435E7"/>
    <w:rsid w:val="00243A2A"/>
    <w:rsid w:val="00243E10"/>
    <w:rsid w:val="00243EC3"/>
    <w:rsid w:val="00243F5F"/>
    <w:rsid w:val="00244921"/>
    <w:rsid w:val="00244DF6"/>
    <w:rsid w:val="00245C66"/>
    <w:rsid w:val="00246512"/>
    <w:rsid w:val="00246B13"/>
    <w:rsid w:val="002475DB"/>
    <w:rsid w:val="00247C18"/>
    <w:rsid w:val="002500E9"/>
    <w:rsid w:val="00251173"/>
    <w:rsid w:val="002518EA"/>
    <w:rsid w:val="0025193C"/>
    <w:rsid w:val="00251F00"/>
    <w:rsid w:val="00252DC4"/>
    <w:rsid w:val="0025364F"/>
    <w:rsid w:val="00253B23"/>
    <w:rsid w:val="00253DCA"/>
    <w:rsid w:val="002545F9"/>
    <w:rsid w:val="00254B37"/>
    <w:rsid w:val="00254C56"/>
    <w:rsid w:val="002555BE"/>
    <w:rsid w:val="002557B6"/>
    <w:rsid w:val="00256298"/>
    <w:rsid w:val="00256ADA"/>
    <w:rsid w:val="002570E6"/>
    <w:rsid w:val="0025740B"/>
    <w:rsid w:val="0025794C"/>
    <w:rsid w:val="00257E70"/>
    <w:rsid w:val="00260448"/>
    <w:rsid w:val="00261E05"/>
    <w:rsid w:val="002623A4"/>
    <w:rsid w:val="00262810"/>
    <w:rsid w:val="00262ADD"/>
    <w:rsid w:val="00262C77"/>
    <w:rsid w:val="002632D4"/>
    <w:rsid w:val="0026395A"/>
    <w:rsid w:val="00264348"/>
    <w:rsid w:val="002649F4"/>
    <w:rsid w:val="00265099"/>
    <w:rsid w:val="002658F4"/>
    <w:rsid w:val="002661E6"/>
    <w:rsid w:val="002665DF"/>
    <w:rsid w:val="00267237"/>
    <w:rsid w:val="002675C6"/>
    <w:rsid w:val="00267976"/>
    <w:rsid w:val="00271143"/>
    <w:rsid w:val="00271ABF"/>
    <w:rsid w:val="00271EAA"/>
    <w:rsid w:val="00272ED1"/>
    <w:rsid w:val="0027319C"/>
    <w:rsid w:val="00273969"/>
    <w:rsid w:val="00273DA3"/>
    <w:rsid w:val="0027449F"/>
    <w:rsid w:val="002747F9"/>
    <w:rsid w:val="00274B38"/>
    <w:rsid w:val="00275360"/>
    <w:rsid w:val="00275891"/>
    <w:rsid w:val="0027594D"/>
    <w:rsid w:val="00275CBF"/>
    <w:rsid w:val="00276064"/>
    <w:rsid w:val="002763E0"/>
    <w:rsid w:val="002765B3"/>
    <w:rsid w:val="00276941"/>
    <w:rsid w:val="00276F14"/>
    <w:rsid w:val="00277203"/>
    <w:rsid w:val="00277BB4"/>
    <w:rsid w:val="002803DD"/>
    <w:rsid w:val="0028063C"/>
    <w:rsid w:val="00280B62"/>
    <w:rsid w:val="002816EE"/>
    <w:rsid w:val="00282121"/>
    <w:rsid w:val="00282393"/>
    <w:rsid w:val="0028246E"/>
    <w:rsid w:val="00282933"/>
    <w:rsid w:val="00283571"/>
    <w:rsid w:val="0028392E"/>
    <w:rsid w:val="00283BC8"/>
    <w:rsid w:val="00283CAB"/>
    <w:rsid w:val="002843F2"/>
    <w:rsid w:val="00284574"/>
    <w:rsid w:val="0028500F"/>
    <w:rsid w:val="00285A5C"/>
    <w:rsid w:val="00285D46"/>
    <w:rsid w:val="002862BE"/>
    <w:rsid w:val="00286BB1"/>
    <w:rsid w:val="002871E9"/>
    <w:rsid w:val="0028788C"/>
    <w:rsid w:val="002900E9"/>
    <w:rsid w:val="00290920"/>
    <w:rsid w:val="0029182C"/>
    <w:rsid w:val="00291980"/>
    <w:rsid w:val="00291996"/>
    <w:rsid w:val="00292227"/>
    <w:rsid w:val="0029329E"/>
    <w:rsid w:val="00293FBA"/>
    <w:rsid w:val="002949AB"/>
    <w:rsid w:val="00294C6F"/>
    <w:rsid w:val="0029513E"/>
    <w:rsid w:val="002951B5"/>
    <w:rsid w:val="002953AB"/>
    <w:rsid w:val="002959C3"/>
    <w:rsid w:val="00295B5C"/>
    <w:rsid w:val="002967D4"/>
    <w:rsid w:val="002968FC"/>
    <w:rsid w:val="00297146"/>
    <w:rsid w:val="00297792"/>
    <w:rsid w:val="00297EB6"/>
    <w:rsid w:val="002A086D"/>
    <w:rsid w:val="002A1B35"/>
    <w:rsid w:val="002A2F28"/>
    <w:rsid w:val="002A2F85"/>
    <w:rsid w:val="002A321F"/>
    <w:rsid w:val="002A3881"/>
    <w:rsid w:val="002A4AEC"/>
    <w:rsid w:val="002A5421"/>
    <w:rsid w:val="002A56AA"/>
    <w:rsid w:val="002A580D"/>
    <w:rsid w:val="002A5A6F"/>
    <w:rsid w:val="002A5B4C"/>
    <w:rsid w:val="002A5DE2"/>
    <w:rsid w:val="002A62D8"/>
    <w:rsid w:val="002A65F1"/>
    <w:rsid w:val="002A700B"/>
    <w:rsid w:val="002A7AF7"/>
    <w:rsid w:val="002A7BE7"/>
    <w:rsid w:val="002A7DE5"/>
    <w:rsid w:val="002B114B"/>
    <w:rsid w:val="002B148E"/>
    <w:rsid w:val="002B27B3"/>
    <w:rsid w:val="002B285D"/>
    <w:rsid w:val="002B32C8"/>
    <w:rsid w:val="002B3F43"/>
    <w:rsid w:val="002B42C0"/>
    <w:rsid w:val="002B451D"/>
    <w:rsid w:val="002B4778"/>
    <w:rsid w:val="002B4BD8"/>
    <w:rsid w:val="002B6314"/>
    <w:rsid w:val="002B6819"/>
    <w:rsid w:val="002B6B2E"/>
    <w:rsid w:val="002B6EBB"/>
    <w:rsid w:val="002B74DC"/>
    <w:rsid w:val="002B7690"/>
    <w:rsid w:val="002B7B56"/>
    <w:rsid w:val="002C00EB"/>
    <w:rsid w:val="002C05C3"/>
    <w:rsid w:val="002C1319"/>
    <w:rsid w:val="002C19D1"/>
    <w:rsid w:val="002C2A9B"/>
    <w:rsid w:val="002C38CC"/>
    <w:rsid w:val="002C4599"/>
    <w:rsid w:val="002C4948"/>
    <w:rsid w:val="002C4C7C"/>
    <w:rsid w:val="002C5D82"/>
    <w:rsid w:val="002C6E3C"/>
    <w:rsid w:val="002C745F"/>
    <w:rsid w:val="002C79AB"/>
    <w:rsid w:val="002D00E1"/>
    <w:rsid w:val="002D01F3"/>
    <w:rsid w:val="002D021A"/>
    <w:rsid w:val="002D0254"/>
    <w:rsid w:val="002D0D89"/>
    <w:rsid w:val="002D2A67"/>
    <w:rsid w:val="002D2D48"/>
    <w:rsid w:val="002D308A"/>
    <w:rsid w:val="002D3736"/>
    <w:rsid w:val="002D37DE"/>
    <w:rsid w:val="002D4856"/>
    <w:rsid w:val="002D4A19"/>
    <w:rsid w:val="002D5062"/>
    <w:rsid w:val="002D55BC"/>
    <w:rsid w:val="002D590C"/>
    <w:rsid w:val="002D6252"/>
    <w:rsid w:val="002D6264"/>
    <w:rsid w:val="002D64AF"/>
    <w:rsid w:val="002D6B66"/>
    <w:rsid w:val="002D7609"/>
    <w:rsid w:val="002D7D15"/>
    <w:rsid w:val="002E04CD"/>
    <w:rsid w:val="002E07A6"/>
    <w:rsid w:val="002E1256"/>
    <w:rsid w:val="002E1F45"/>
    <w:rsid w:val="002E2ACC"/>
    <w:rsid w:val="002E2B7A"/>
    <w:rsid w:val="002E2C3E"/>
    <w:rsid w:val="002E2D19"/>
    <w:rsid w:val="002E2D4D"/>
    <w:rsid w:val="002E3CB8"/>
    <w:rsid w:val="002E5383"/>
    <w:rsid w:val="002E58ED"/>
    <w:rsid w:val="002E5BD9"/>
    <w:rsid w:val="002E72EC"/>
    <w:rsid w:val="002F0771"/>
    <w:rsid w:val="002F23C3"/>
    <w:rsid w:val="002F3202"/>
    <w:rsid w:val="002F358F"/>
    <w:rsid w:val="002F3C76"/>
    <w:rsid w:val="002F3D2E"/>
    <w:rsid w:val="002F3FB9"/>
    <w:rsid w:val="002F5C6D"/>
    <w:rsid w:val="002F5ED4"/>
    <w:rsid w:val="002F6CE1"/>
    <w:rsid w:val="002F7293"/>
    <w:rsid w:val="003004F1"/>
    <w:rsid w:val="003005DA"/>
    <w:rsid w:val="00300944"/>
    <w:rsid w:val="003009F5"/>
    <w:rsid w:val="0030132A"/>
    <w:rsid w:val="00301F14"/>
    <w:rsid w:val="00301F74"/>
    <w:rsid w:val="00302DE4"/>
    <w:rsid w:val="00302FBD"/>
    <w:rsid w:val="0030303C"/>
    <w:rsid w:val="00303F4B"/>
    <w:rsid w:val="00303F8A"/>
    <w:rsid w:val="00304193"/>
    <w:rsid w:val="003042CB"/>
    <w:rsid w:val="00304F6D"/>
    <w:rsid w:val="00307820"/>
    <w:rsid w:val="003100B7"/>
    <w:rsid w:val="0031020C"/>
    <w:rsid w:val="003104FF"/>
    <w:rsid w:val="00310DCE"/>
    <w:rsid w:val="00311024"/>
    <w:rsid w:val="00311B0D"/>
    <w:rsid w:val="00311FEB"/>
    <w:rsid w:val="003121D8"/>
    <w:rsid w:val="003122B1"/>
    <w:rsid w:val="003122C8"/>
    <w:rsid w:val="003129BD"/>
    <w:rsid w:val="003132E7"/>
    <w:rsid w:val="00313EBB"/>
    <w:rsid w:val="00314598"/>
    <w:rsid w:val="003145A4"/>
    <w:rsid w:val="00314870"/>
    <w:rsid w:val="003149F3"/>
    <w:rsid w:val="00314B21"/>
    <w:rsid w:val="0031545A"/>
    <w:rsid w:val="00315B4B"/>
    <w:rsid w:val="00316151"/>
    <w:rsid w:val="0031694D"/>
    <w:rsid w:val="00317475"/>
    <w:rsid w:val="00320F8F"/>
    <w:rsid w:val="003213A2"/>
    <w:rsid w:val="00322C50"/>
    <w:rsid w:val="00323013"/>
    <w:rsid w:val="00323314"/>
    <w:rsid w:val="0032453C"/>
    <w:rsid w:val="00324E25"/>
    <w:rsid w:val="00324E42"/>
    <w:rsid w:val="003253B8"/>
    <w:rsid w:val="00325685"/>
    <w:rsid w:val="00325B66"/>
    <w:rsid w:val="00327019"/>
    <w:rsid w:val="00327C5F"/>
    <w:rsid w:val="003312CE"/>
    <w:rsid w:val="00331478"/>
    <w:rsid w:val="00331A8B"/>
    <w:rsid w:val="00331AD6"/>
    <w:rsid w:val="003321A5"/>
    <w:rsid w:val="003321CE"/>
    <w:rsid w:val="00332B26"/>
    <w:rsid w:val="00332D94"/>
    <w:rsid w:val="00332E87"/>
    <w:rsid w:val="003333E9"/>
    <w:rsid w:val="00333FD4"/>
    <w:rsid w:val="00334555"/>
    <w:rsid w:val="003347A6"/>
    <w:rsid w:val="00334D02"/>
    <w:rsid w:val="003356F5"/>
    <w:rsid w:val="0033573D"/>
    <w:rsid w:val="003363A7"/>
    <w:rsid w:val="003366BE"/>
    <w:rsid w:val="003367BB"/>
    <w:rsid w:val="003374AE"/>
    <w:rsid w:val="00337AF8"/>
    <w:rsid w:val="00340177"/>
    <w:rsid w:val="003401BA"/>
    <w:rsid w:val="00340592"/>
    <w:rsid w:val="00341145"/>
    <w:rsid w:val="00341444"/>
    <w:rsid w:val="003416B4"/>
    <w:rsid w:val="003416F3"/>
    <w:rsid w:val="00341884"/>
    <w:rsid w:val="00342326"/>
    <w:rsid w:val="0034248D"/>
    <w:rsid w:val="00343465"/>
    <w:rsid w:val="003442AF"/>
    <w:rsid w:val="003443FB"/>
    <w:rsid w:val="00344836"/>
    <w:rsid w:val="00344C62"/>
    <w:rsid w:val="0034500F"/>
    <w:rsid w:val="00345116"/>
    <w:rsid w:val="00345BF8"/>
    <w:rsid w:val="003460F4"/>
    <w:rsid w:val="00346C4E"/>
    <w:rsid w:val="00347A62"/>
    <w:rsid w:val="00350725"/>
    <w:rsid w:val="003508D1"/>
    <w:rsid w:val="00350907"/>
    <w:rsid w:val="00351590"/>
    <w:rsid w:val="003517C7"/>
    <w:rsid w:val="00351D79"/>
    <w:rsid w:val="00351D8B"/>
    <w:rsid w:val="00352573"/>
    <w:rsid w:val="00352667"/>
    <w:rsid w:val="00352DFC"/>
    <w:rsid w:val="00352E28"/>
    <w:rsid w:val="0035406A"/>
    <w:rsid w:val="003549AE"/>
    <w:rsid w:val="003556F7"/>
    <w:rsid w:val="003566DB"/>
    <w:rsid w:val="00357B08"/>
    <w:rsid w:val="00360326"/>
    <w:rsid w:val="00360542"/>
    <w:rsid w:val="00360C94"/>
    <w:rsid w:val="00360F01"/>
    <w:rsid w:val="00361022"/>
    <w:rsid w:val="00361050"/>
    <w:rsid w:val="00361A57"/>
    <w:rsid w:val="003628FC"/>
    <w:rsid w:val="003629B6"/>
    <w:rsid w:val="00362B72"/>
    <w:rsid w:val="0036301A"/>
    <w:rsid w:val="00363029"/>
    <w:rsid w:val="003639A9"/>
    <w:rsid w:val="00363E05"/>
    <w:rsid w:val="00364206"/>
    <w:rsid w:val="00365595"/>
    <w:rsid w:val="0036564D"/>
    <w:rsid w:val="00365B6F"/>
    <w:rsid w:val="00365EC2"/>
    <w:rsid w:val="003661B0"/>
    <w:rsid w:val="003664D7"/>
    <w:rsid w:val="003675C7"/>
    <w:rsid w:val="0036794C"/>
    <w:rsid w:val="003703BD"/>
    <w:rsid w:val="00370BBD"/>
    <w:rsid w:val="00371201"/>
    <w:rsid w:val="00372D43"/>
    <w:rsid w:val="00373097"/>
    <w:rsid w:val="00374360"/>
    <w:rsid w:val="00374461"/>
    <w:rsid w:val="0037509F"/>
    <w:rsid w:val="00375A44"/>
    <w:rsid w:val="00375B40"/>
    <w:rsid w:val="00375C7D"/>
    <w:rsid w:val="00376484"/>
    <w:rsid w:val="00376B34"/>
    <w:rsid w:val="00376F87"/>
    <w:rsid w:val="00377B1D"/>
    <w:rsid w:val="00377DE9"/>
    <w:rsid w:val="0038088A"/>
    <w:rsid w:val="00380CFE"/>
    <w:rsid w:val="00380F11"/>
    <w:rsid w:val="00381720"/>
    <w:rsid w:val="00381DA5"/>
    <w:rsid w:val="00382691"/>
    <w:rsid w:val="00382C64"/>
    <w:rsid w:val="00384053"/>
    <w:rsid w:val="00384089"/>
    <w:rsid w:val="00384966"/>
    <w:rsid w:val="003858C5"/>
    <w:rsid w:val="00385BE6"/>
    <w:rsid w:val="00385EAE"/>
    <w:rsid w:val="003866E4"/>
    <w:rsid w:val="00386B1C"/>
    <w:rsid w:val="0038705F"/>
    <w:rsid w:val="00387D8E"/>
    <w:rsid w:val="003900D4"/>
    <w:rsid w:val="003903FF"/>
    <w:rsid w:val="00390F08"/>
    <w:rsid w:val="00390F5D"/>
    <w:rsid w:val="00391519"/>
    <w:rsid w:val="00391795"/>
    <w:rsid w:val="00391AE6"/>
    <w:rsid w:val="00391C8A"/>
    <w:rsid w:val="00391E01"/>
    <w:rsid w:val="003924B2"/>
    <w:rsid w:val="0039347D"/>
    <w:rsid w:val="003937A0"/>
    <w:rsid w:val="00393BC9"/>
    <w:rsid w:val="00393D7E"/>
    <w:rsid w:val="003943F1"/>
    <w:rsid w:val="00394775"/>
    <w:rsid w:val="00394C87"/>
    <w:rsid w:val="00395DA8"/>
    <w:rsid w:val="00396148"/>
    <w:rsid w:val="00396DB9"/>
    <w:rsid w:val="00396F87"/>
    <w:rsid w:val="003971EA"/>
    <w:rsid w:val="003972B9"/>
    <w:rsid w:val="003972F1"/>
    <w:rsid w:val="00397AD4"/>
    <w:rsid w:val="003A0574"/>
    <w:rsid w:val="003A086F"/>
    <w:rsid w:val="003A0C0F"/>
    <w:rsid w:val="003A0EDA"/>
    <w:rsid w:val="003A17F0"/>
    <w:rsid w:val="003A2CFC"/>
    <w:rsid w:val="003A2E14"/>
    <w:rsid w:val="003A3348"/>
    <w:rsid w:val="003A40BD"/>
    <w:rsid w:val="003A4361"/>
    <w:rsid w:val="003A4BC9"/>
    <w:rsid w:val="003A5858"/>
    <w:rsid w:val="003A60F7"/>
    <w:rsid w:val="003A631A"/>
    <w:rsid w:val="003A6683"/>
    <w:rsid w:val="003A7B22"/>
    <w:rsid w:val="003B0CB0"/>
    <w:rsid w:val="003B0F1A"/>
    <w:rsid w:val="003B2166"/>
    <w:rsid w:val="003B2223"/>
    <w:rsid w:val="003B2263"/>
    <w:rsid w:val="003B250C"/>
    <w:rsid w:val="003B3229"/>
    <w:rsid w:val="003B4174"/>
    <w:rsid w:val="003B420D"/>
    <w:rsid w:val="003B4865"/>
    <w:rsid w:val="003B5993"/>
    <w:rsid w:val="003B6357"/>
    <w:rsid w:val="003B742F"/>
    <w:rsid w:val="003B74DC"/>
    <w:rsid w:val="003B75F7"/>
    <w:rsid w:val="003C01BF"/>
    <w:rsid w:val="003C051A"/>
    <w:rsid w:val="003C09E0"/>
    <w:rsid w:val="003C10CA"/>
    <w:rsid w:val="003C16BC"/>
    <w:rsid w:val="003C1903"/>
    <w:rsid w:val="003C21CE"/>
    <w:rsid w:val="003C245F"/>
    <w:rsid w:val="003C2817"/>
    <w:rsid w:val="003C28A2"/>
    <w:rsid w:val="003C290F"/>
    <w:rsid w:val="003C3968"/>
    <w:rsid w:val="003C40BE"/>
    <w:rsid w:val="003C5501"/>
    <w:rsid w:val="003C5778"/>
    <w:rsid w:val="003C6629"/>
    <w:rsid w:val="003C66D4"/>
    <w:rsid w:val="003D0333"/>
    <w:rsid w:val="003D0614"/>
    <w:rsid w:val="003D09E6"/>
    <w:rsid w:val="003D0E30"/>
    <w:rsid w:val="003D122C"/>
    <w:rsid w:val="003D137B"/>
    <w:rsid w:val="003D170E"/>
    <w:rsid w:val="003D1A6C"/>
    <w:rsid w:val="003D356E"/>
    <w:rsid w:val="003D4067"/>
    <w:rsid w:val="003D4181"/>
    <w:rsid w:val="003D4C2A"/>
    <w:rsid w:val="003D52B9"/>
    <w:rsid w:val="003D555C"/>
    <w:rsid w:val="003D5739"/>
    <w:rsid w:val="003D5905"/>
    <w:rsid w:val="003D5AE5"/>
    <w:rsid w:val="003D6471"/>
    <w:rsid w:val="003D65B1"/>
    <w:rsid w:val="003D6797"/>
    <w:rsid w:val="003D6F87"/>
    <w:rsid w:val="003D7220"/>
    <w:rsid w:val="003E0D0C"/>
    <w:rsid w:val="003E0EB8"/>
    <w:rsid w:val="003E21B6"/>
    <w:rsid w:val="003E28C8"/>
    <w:rsid w:val="003E2B73"/>
    <w:rsid w:val="003E2B80"/>
    <w:rsid w:val="003E4289"/>
    <w:rsid w:val="003E4316"/>
    <w:rsid w:val="003E49B1"/>
    <w:rsid w:val="003E4A45"/>
    <w:rsid w:val="003E4E15"/>
    <w:rsid w:val="003E4F09"/>
    <w:rsid w:val="003E5770"/>
    <w:rsid w:val="003E5C69"/>
    <w:rsid w:val="003E607B"/>
    <w:rsid w:val="003E642A"/>
    <w:rsid w:val="003E7A5A"/>
    <w:rsid w:val="003F0735"/>
    <w:rsid w:val="003F11F8"/>
    <w:rsid w:val="003F1426"/>
    <w:rsid w:val="003F25A2"/>
    <w:rsid w:val="003F2693"/>
    <w:rsid w:val="003F2F46"/>
    <w:rsid w:val="003F3326"/>
    <w:rsid w:val="003F38E2"/>
    <w:rsid w:val="003F4140"/>
    <w:rsid w:val="003F45EA"/>
    <w:rsid w:val="003F492E"/>
    <w:rsid w:val="003F49D3"/>
    <w:rsid w:val="003F6971"/>
    <w:rsid w:val="003F719D"/>
    <w:rsid w:val="003F7A84"/>
    <w:rsid w:val="003F7AEB"/>
    <w:rsid w:val="00401406"/>
    <w:rsid w:val="00401B2B"/>
    <w:rsid w:val="00401D33"/>
    <w:rsid w:val="00401EC5"/>
    <w:rsid w:val="004020F3"/>
    <w:rsid w:val="004035A7"/>
    <w:rsid w:val="0040380E"/>
    <w:rsid w:val="004042A4"/>
    <w:rsid w:val="00404F1E"/>
    <w:rsid w:val="00405639"/>
    <w:rsid w:val="004058F6"/>
    <w:rsid w:val="00406223"/>
    <w:rsid w:val="00406BE7"/>
    <w:rsid w:val="00407010"/>
    <w:rsid w:val="00407773"/>
    <w:rsid w:val="00407C6F"/>
    <w:rsid w:val="004102F9"/>
    <w:rsid w:val="004111A8"/>
    <w:rsid w:val="004118E4"/>
    <w:rsid w:val="00411FFD"/>
    <w:rsid w:val="0041338B"/>
    <w:rsid w:val="0041362C"/>
    <w:rsid w:val="0041380D"/>
    <w:rsid w:val="004141CF"/>
    <w:rsid w:val="00414358"/>
    <w:rsid w:val="0041493C"/>
    <w:rsid w:val="0041518C"/>
    <w:rsid w:val="00415CB0"/>
    <w:rsid w:val="00415EEA"/>
    <w:rsid w:val="00415FA4"/>
    <w:rsid w:val="00417547"/>
    <w:rsid w:val="004176F6"/>
    <w:rsid w:val="00420724"/>
    <w:rsid w:val="00420E2D"/>
    <w:rsid w:val="0042236F"/>
    <w:rsid w:val="00422D40"/>
    <w:rsid w:val="00423241"/>
    <w:rsid w:val="00423A85"/>
    <w:rsid w:val="00423D0B"/>
    <w:rsid w:val="00424EB0"/>
    <w:rsid w:val="004252AE"/>
    <w:rsid w:val="004252F0"/>
    <w:rsid w:val="00425E24"/>
    <w:rsid w:val="00425E6F"/>
    <w:rsid w:val="00425F17"/>
    <w:rsid w:val="00426113"/>
    <w:rsid w:val="0042636F"/>
    <w:rsid w:val="00426601"/>
    <w:rsid w:val="0042670A"/>
    <w:rsid w:val="00426736"/>
    <w:rsid w:val="00426F3D"/>
    <w:rsid w:val="00427A5E"/>
    <w:rsid w:val="00427F43"/>
    <w:rsid w:val="00430415"/>
    <w:rsid w:val="0043126B"/>
    <w:rsid w:val="00431665"/>
    <w:rsid w:val="00431883"/>
    <w:rsid w:val="0043191C"/>
    <w:rsid w:val="0043249E"/>
    <w:rsid w:val="00432A19"/>
    <w:rsid w:val="00432F3A"/>
    <w:rsid w:val="00433022"/>
    <w:rsid w:val="00433167"/>
    <w:rsid w:val="00433774"/>
    <w:rsid w:val="004345F5"/>
    <w:rsid w:val="00434688"/>
    <w:rsid w:val="00434C51"/>
    <w:rsid w:val="004355CD"/>
    <w:rsid w:val="0043658C"/>
    <w:rsid w:val="0043682A"/>
    <w:rsid w:val="00436956"/>
    <w:rsid w:val="00436AD1"/>
    <w:rsid w:val="00436DEB"/>
    <w:rsid w:val="0043755A"/>
    <w:rsid w:val="00437E6B"/>
    <w:rsid w:val="004406E6"/>
    <w:rsid w:val="00440FC6"/>
    <w:rsid w:val="0044196F"/>
    <w:rsid w:val="00441BE2"/>
    <w:rsid w:val="00441D18"/>
    <w:rsid w:val="004421F6"/>
    <w:rsid w:val="00442B28"/>
    <w:rsid w:val="00442E8F"/>
    <w:rsid w:val="004431C3"/>
    <w:rsid w:val="004436FA"/>
    <w:rsid w:val="00443718"/>
    <w:rsid w:val="00443DB1"/>
    <w:rsid w:val="0044442B"/>
    <w:rsid w:val="00444A7E"/>
    <w:rsid w:val="00444EBB"/>
    <w:rsid w:val="00445419"/>
    <w:rsid w:val="00445821"/>
    <w:rsid w:val="00446E02"/>
    <w:rsid w:val="00446E3A"/>
    <w:rsid w:val="00447283"/>
    <w:rsid w:val="00447CE2"/>
    <w:rsid w:val="00447E2B"/>
    <w:rsid w:val="00450266"/>
    <w:rsid w:val="0045074B"/>
    <w:rsid w:val="0045165E"/>
    <w:rsid w:val="0045197B"/>
    <w:rsid w:val="00451BEB"/>
    <w:rsid w:val="004528C0"/>
    <w:rsid w:val="00452A8F"/>
    <w:rsid w:val="00452D43"/>
    <w:rsid w:val="0045324C"/>
    <w:rsid w:val="004536DA"/>
    <w:rsid w:val="004546B9"/>
    <w:rsid w:val="00454D63"/>
    <w:rsid w:val="004553B1"/>
    <w:rsid w:val="00455AA2"/>
    <w:rsid w:val="00455EDD"/>
    <w:rsid w:val="00456234"/>
    <w:rsid w:val="00456A00"/>
    <w:rsid w:val="00456EFF"/>
    <w:rsid w:val="004570A6"/>
    <w:rsid w:val="00457102"/>
    <w:rsid w:val="004577B6"/>
    <w:rsid w:val="00457F58"/>
    <w:rsid w:val="00460322"/>
    <w:rsid w:val="00460ABA"/>
    <w:rsid w:val="004615EF"/>
    <w:rsid w:val="0046182E"/>
    <w:rsid w:val="00461DAE"/>
    <w:rsid w:val="00461F7D"/>
    <w:rsid w:val="00462975"/>
    <w:rsid w:val="00462A00"/>
    <w:rsid w:val="00462A92"/>
    <w:rsid w:val="004630AF"/>
    <w:rsid w:val="0046324D"/>
    <w:rsid w:val="0046373A"/>
    <w:rsid w:val="00463FFD"/>
    <w:rsid w:val="00464412"/>
    <w:rsid w:val="00464F12"/>
    <w:rsid w:val="0046542C"/>
    <w:rsid w:val="00465AF2"/>
    <w:rsid w:val="00465C82"/>
    <w:rsid w:val="00466211"/>
    <w:rsid w:val="00466B16"/>
    <w:rsid w:val="00467380"/>
    <w:rsid w:val="004679A5"/>
    <w:rsid w:val="00467B95"/>
    <w:rsid w:val="00467C2C"/>
    <w:rsid w:val="00470860"/>
    <w:rsid w:val="004717FB"/>
    <w:rsid w:val="004718C5"/>
    <w:rsid w:val="00472114"/>
    <w:rsid w:val="0047298C"/>
    <w:rsid w:val="00473161"/>
    <w:rsid w:val="00473F56"/>
    <w:rsid w:val="0047416E"/>
    <w:rsid w:val="00474272"/>
    <w:rsid w:val="004749DD"/>
    <w:rsid w:val="00474C8A"/>
    <w:rsid w:val="0047509F"/>
    <w:rsid w:val="00475D88"/>
    <w:rsid w:val="004764BA"/>
    <w:rsid w:val="00476844"/>
    <w:rsid w:val="004768F9"/>
    <w:rsid w:val="00476EA0"/>
    <w:rsid w:val="00480691"/>
    <w:rsid w:val="00480B66"/>
    <w:rsid w:val="00480DAB"/>
    <w:rsid w:val="00480F88"/>
    <w:rsid w:val="00481658"/>
    <w:rsid w:val="00481909"/>
    <w:rsid w:val="00481C00"/>
    <w:rsid w:val="004824DB"/>
    <w:rsid w:val="004824F0"/>
    <w:rsid w:val="004825B3"/>
    <w:rsid w:val="00482C34"/>
    <w:rsid w:val="00483096"/>
    <w:rsid w:val="00483507"/>
    <w:rsid w:val="00483782"/>
    <w:rsid w:val="00483D54"/>
    <w:rsid w:val="00484E0A"/>
    <w:rsid w:val="004854C7"/>
    <w:rsid w:val="0048587E"/>
    <w:rsid w:val="00487708"/>
    <w:rsid w:val="00490522"/>
    <w:rsid w:val="00490B37"/>
    <w:rsid w:val="00490B95"/>
    <w:rsid w:val="00490CE4"/>
    <w:rsid w:val="00490EEE"/>
    <w:rsid w:val="00490F07"/>
    <w:rsid w:val="00491552"/>
    <w:rsid w:val="00491B04"/>
    <w:rsid w:val="004926FF"/>
    <w:rsid w:val="00493358"/>
    <w:rsid w:val="00493B89"/>
    <w:rsid w:val="00493C20"/>
    <w:rsid w:val="00493D39"/>
    <w:rsid w:val="00493E0C"/>
    <w:rsid w:val="00494306"/>
    <w:rsid w:val="004947EC"/>
    <w:rsid w:val="00494996"/>
    <w:rsid w:val="004949E9"/>
    <w:rsid w:val="0049550E"/>
    <w:rsid w:val="00496580"/>
    <w:rsid w:val="004969CE"/>
    <w:rsid w:val="00497F31"/>
    <w:rsid w:val="004A03F2"/>
    <w:rsid w:val="004A09D7"/>
    <w:rsid w:val="004A16DF"/>
    <w:rsid w:val="004A26C4"/>
    <w:rsid w:val="004A270F"/>
    <w:rsid w:val="004A290D"/>
    <w:rsid w:val="004A3CD5"/>
    <w:rsid w:val="004A3E16"/>
    <w:rsid w:val="004A494D"/>
    <w:rsid w:val="004A4C05"/>
    <w:rsid w:val="004A5082"/>
    <w:rsid w:val="004A5A70"/>
    <w:rsid w:val="004A5DF4"/>
    <w:rsid w:val="004A5F21"/>
    <w:rsid w:val="004A5FCB"/>
    <w:rsid w:val="004A6576"/>
    <w:rsid w:val="004A705A"/>
    <w:rsid w:val="004A773F"/>
    <w:rsid w:val="004B0160"/>
    <w:rsid w:val="004B03F5"/>
    <w:rsid w:val="004B0A34"/>
    <w:rsid w:val="004B0FB9"/>
    <w:rsid w:val="004B1142"/>
    <w:rsid w:val="004B1529"/>
    <w:rsid w:val="004B1C73"/>
    <w:rsid w:val="004B22BD"/>
    <w:rsid w:val="004B331D"/>
    <w:rsid w:val="004B34F4"/>
    <w:rsid w:val="004B3644"/>
    <w:rsid w:val="004B44B1"/>
    <w:rsid w:val="004B46F7"/>
    <w:rsid w:val="004B4711"/>
    <w:rsid w:val="004B55F5"/>
    <w:rsid w:val="004B69A5"/>
    <w:rsid w:val="004B71F6"/>
    <w:rsid w:val="004C0935"/>
    <w:rsid w:val="004C0ABF"/>
    <w:rsid w:val="004C0E67"/>
    <w:rsid w:val="004C0EDF"/>
    <w:rsid w:val="004C144A"/>
    <w:rsid w:val="004C21AC"/>
    <w:rsid w:val="004C3E58"/>
    <w:rsid w:val="004C4359"/>
    <w:rsid w:val="004C4963"/>
    <w:rsid w:val="004C5009"/>
    <w:rsid w:val="004C53B6"/>
    <w:rsid w:val="004C55AE"/>
    <w:rsid w:val="004C71A1"/>
    <w:rsid w:val="004C786F"/>
    <w:rsid w:val="004C7E01"/>
    <w:rsid w:val="004D00ED"/>
    <w:rsid w:val="004D0640"/>
    <w:rsid w:val="004D0813"/>
    <w:rsid w:val="004D1648"/>
    <w:rsid w:val="004D169C"/>
    <w:rsid w:val="004D322C"/>
    <w:rsid w:val="004D32A7"/>
    <w:rsid w:val="004D4E72"/>
    <w:rsid w:val="004D54B1"/>
    <w:rsid w:val="004D5FDC"/>
    <w:rsid w:val="004D633B"/>
    <w:rsid w:val="004D6B8A"/>
    <w:rsid w:val="004D6E88"/>
    <w:rsid w:val="004D72F8"/>
    <w:rsid w:val="004D789E"/>
    <w:rsid w:val="004D79EB"/>
    <w:rsid w:val="004E07D2"/>
    <w:rsid w:val="004E136C"/>
    <w:rsid w:val="004E1FA9"/>
    <w:rsid w:val="004E3C16"/>
    <w:rsid w:val="004E3E0E"/>
    <w:rsid w:val="004E3F69"/>
    <w:rsid w:val="004E47FF"/>
    <w:rsid w:val="004E4B99"/>
    <w:rsid w:val="004E4BD8"/>
    <w:rsid w:val="004E5B70"/>
    <w:rsid w:val="004E5EBA"/>
    <w:rsid w:val="004E64A5"/>
    <w:rsid w:val="004E6CA4"/>
    <w:rsid w:val="004E70BB"/>
    <w:rsid w:val="004F04D3"/>
    <w:rsid w:val="004F0AD8"/>
    <w:rsid w:val="004F0EB8"/>
    <w:rsid w:val="004F1267"/>
    <w:rsid w:val="004F12C2"/>
    <w:rsid w:val="004F1D7D"/>
    <w:rsid w:val="004F1DD7"/>
    <w:rsid w:val="004F3585"/>
    <w:rsid w:val="004F3774"/>
    <w:rsid w:val="004F3BF7"/>
    <w:rsid w:val="004F46EB"/>
    <w:rsid w:val="004F582E"/>
    <w:rsid w:val="004F592E"/>
    <w:rsid w:val="004F5A27"/>
    <w:rsid w:val="004F6589"/>
    <w:rsid w:val="004F65D6"/>
    <w:rsid w:val="004F684E"/>
    <w:rsid w:val="004F6CCF"/>
    <w:rsid w:val="004F7B45"/>
    <w:rsid w:val="005000AD"/>
    <w:rsid w:val="00500A46"/>
    <w:rsid w:val="00501A97"/>
    <w:rsid w:val="0050265B"/>
    <w:rsid w:val="00502879"/>
    <w:rsid w:val="00502AC2"/>
    <w:rsid w:val="00502B24"/>
    <w:rsid w:val="00503282"/>
    <w:rsid w:val="005033F1"/>
    <w:rsid w:val="00503792"/>
    <w:rsid w:val="00503872"/>
    <w:rsid w:val="00504219"/>
    <w:rsid w:val="0050455E"/>
    <w:rsid w:val="0050471A"/>
    <w:rsid w:val="00505549"/>
    <w:rsid w:val="00505DF7"/>
    <w:rsid w:val="00506760"/>
    <w:rsid w:val="00506B2D"/>
    <w:rsid w:val="00506B6A"/>
    <w:rsid w:val="0050707C"/>
    <w:rsid w:val="00507A24"/>
    <w:rsid w:val="00510465"/>
    <w:rsid w:val="00512969"/>
    <w:rsid w:val="00512A79"/>
    <w:rsid w:val="00512C00"/>
    <w:rsid w:val="005136C9"/>
    <w:rsid w:val="00513F31"/>
    <w:rsid w:val="005144F9"/>
    <w:rsid w:val="00514E03"/>
    <w:rsid w:val="005155A3"/>
    <w:rsid w:val="00516302"/>
    <w:rsid w:val="00516BB6"/>
    <w:rsid w:val="005175B5"/>
    <w:rsid w:val="005179BA"/>
    <w:rsid w:val="00517D92"/>
    <w:rsid w:val="0052077D"/>
    <w:rsid w:val="005207AF"/>
    <w:rsid w:val="00520BF4"/>
    <w:rsid w:val="00520F5D"/>
    <w:rsid w:val="005228EF"/>
    <w:rsid w:val="00522CC4"/>
    <w:rsid w:val="005235EE"/>
    <w:rsid w:val="00524569"/>
    <w:rsid w:val="005245F2"/>
    <w:rsid w:val="00524D9A"/>
    <w:rsid w:val="0052500E"/>
    <w:rsid w:val="005267DD"/>
    <w:rsid w:val="00526EF2"/>
    <w:rsid w:val="0052735D"/>
    <w:rsid w:val="0052740C"/>
    <w:rsid w:val="005275BA"/>
    <w:rsid w:val="005302AE"/>
    <w:rsid w:val="00531D47"/>
    <w:rsid w:val="00531FD8"/>
    <w:rsid w:val="00532406"/>
    <w:rsid w:val="0053279A"/>
    <w:rsid w:val="00533385"/>
    <w:rsid w:val="00533553"/>
    <w:rsid w:val="00533F91"/>
    <w:rsid w:val="00533FB3"/>
    <w:rsid w:val="0053418E"/>
    <w:rsid w:val="00534589"/>
    <w:rsid w:val="00534D6A"/>
    <w:rsid w:val="00534E2B"/>
    <w:rsid w:val="00535AA6"/>
    <w:rsid w:val="005360F3"/>
    <w:rsid w:val="00536DFC"/>
    <w:rsid w:val="00537414"/>
    <w:rsid w:val="005407A1"/>
    <w:rsid w:val="00540A3D"/>
    <w:rsid w:val="005416C2"/>
    <w:rsid w:val="00541CAA"/>
    <w:rsid w:val="00541F1C"/>
    <w:rsid w:val="0054350A"/>
    <w:rsid w:val="00543D5E"/>
    <w:rsid w:val="00543EE4"/>
    <w:rsid w:val="00545173"/>
    <w:rsid w:val="005462C6"/>
    <w:rsid w:val="0054667F"/>
    <w:rsid w:val="00546859"/>
    <w:rsid w:val="005469DC"/>
    <w:rsid w:val="00546D23"/>
    <w:rsid w:val="00546E99"/>
    <w:rsid w:val="00546FD1"/>
    <w:rsid w:val="0054799E"/>
    <w:rsid w:val="0055098F"/>
    <w:rsid w:val="00550C35"/>
    <w:rsid w:val="00550DE5"/>
    <w:rsid w:val="00550F70"/>
    <w:rsid w:val="005523A9"/>
    <w:rsid w:val="00552A33"/>
    <w:rsid w:val="00552B78"/>
    <w:rsid w:val="00552D20"/>
    <w:rsid w:val="00552EB9"/>
    <w:rsid w:val="005532F9"/>
    <w:rsid w:val="005533D8"/>
    <w:rsid w:val="00553A3C"/>
    <w:rsid w:val="00553CD7"/>
    <w:rsid w:val="0055428A"/>
    <w:rsid w:val="00554490"/>
    <w:rsid w:val="00554773"/>
    <w:rsid w:val="005555CF"/>
    <w:rsid w:val="00555DC7"/>
    <w:rsid w:val="005566A0"/>
    <w:rsid w:val="00556DB9"/>
    <w:rsid w:val="005570B5"/>
    <w:rsid w:val="0055726C"/>
    <w:rsid w:val="00557C1C"/>
    <w:rsid w:val="00557D2A"/>
    <w:rsid w:val="00560207"/>
    <w:rsid w:val="00560767"/>
    <w:rsid w:val="0056076B"/>
    <w:rsid w:val="00560898"/>
    <w:rsid w:val="00560F19"/>
    <w:rsid w:val="005623F8"/>
    <w:rsid w:val="00562BF6"/>
    <w:rsid w:val="00563507"/>
    <w:rsid w:val="005638EA"/>
    <w:rsid w:val="00564B42"/>
    <w:rsid w:val="00564C7E"/>
    <w:rsid w:val="005659CE"/>
    <w:rsid w:val="005659F3"/>
    <w:rsid w:val="00565BC1"/>
    <w:rsid w:val="00566524"/>
    <w:rsid w:val="0056776F"/>
    <w:rsid w:val="00567F19"/>
    <w:rsid w:val="00570C28"/>
    <w:rsid w:val="005716F0"/>
    <w:rsid w:val="00571AD2"/>
    <w:rsid w:val="00571B34"/>
    <w:rsid w:val="00572812"/>
    <w:rsid w:val="00572DEC"/>
    <w:rsid w:val="005731DF"/>
    <w:rsid w:val="00573376"/>
    <w:rsid w:val="00574354"/>
    <w:rsid w:val="005745F0"/>
    <w:rsid w:val="0057483F"/>
    <w:rsid w:val="00574EB8"/>
    <w:rsid w:val="00576D87"/>
    <w:rsid w:val="0057723A"/>
    <w:rsid w:val="005773CB"/>
    <w:rsid w:val="00577A9F"/>
    <w:rsid w:val="00580286"/>
    <w:rsid w:val="00580298"/>
    <w:rsid w:val="0058057A"/>
    <w:rsid w:val="00582305"/>
    <w:rsid w:val="00582A75"/>
    <w:rsid w:val="00583B78"/>
    <w:rsid w:val="00585896"/>
    <w:rsid w:val="005859C0"/>
    <w:rsid w:val="00585BF4"/>
    <w:rsid w:val="00585C20"/>
    <w:rsid w:val="00585D89"/>
    <w:rsid w:val="00585E4E"/>
    <w:rsid w:val="005865FB"/>
    <w:rsid w:val="00586CA5"/>
    <w:rsid w:val="00587A3D"/>
    <w:rsid w:val="00590086"/>
    <w:rsid w:val="005900D8"/>
    <w:rsid w:val="00590187"/>
    <w:rsid w:val="00590BD7"/>
    <w:rsid w:val="0059177E"/>
    <w:rsid w:val="00591A2A"/>
    <w:rsid w:val="0059239B"/>
    <w:rsid w:val="00592633"/>
    <w:rsid w:val="00593560"/>
    <w:rsid w:val="00593CF1"/>
    <w:rsid w:val="00593EFA"/>
    <w:rsid w:val="0059405F"/>
    <w:rsid w:val="00594119"/>
    <w:rsid w:val="00594128"/>
    <w:rsid w:val="00594F34"/>
    <w:rsid w:val="00595054"/>
    <w:rsid w:val="0059534D"/>
    <w:rsid w:val="00595BC4"/>
    <w:rsid w:val="00596262"/>
    <w:rsid w:val="005966E0"/>
    <w:rsid w:val="00597BA9"/>
    <w:rsid w:val="00597C64"/>
    <w:rsid w:val="005A0427"/>
    <w:rsid w:val="005A127B"/>
    <w:rsid w:val="005A12C2"/>
    <w:rsid w:val="005A1301"/>
    <w:rsid w:val="005A19DD"/>
    <w:rsid w:val="005A1F63"/>
    <w:rsid w:val="005A206C"/>
    <w:rsid w:val="005A269D"/>
    <w:rsid w:val="005A2CEB"/>
    <w:rsid w:val="005A3289"/>
    <w:rsid w:val="005A380D"/>
    <w:rsid w:val="005A4385"/>
    <w:rsid w:val="005A4CB5"/>
    <w:rsid w:val="005A5EE5"/>
    <w:rsid w:val="005A6692"/>
    <w:rsid w:val="005A69BA"/>
    <w:rsid w:val="005A6ABE"/>
    <w:rsid w:val="005A72CA"/>
    <w:rsid w:val="005A7644"/>
    <w:rsid w:val="005A7D5B"/>
    <w:rsid w:val="005B0515"/>
    <w:rsid w:val="005B073C"/>
    <w:rsid w:val="005B0CF5"/>
    <w:rsid w:val="005B14C7"/>
    <w:rsid w:val="005B163E"/>
    <w:rsid w:val="005B1A56"/>
    <w:rsid w:val="005B2500"/>
    <w:rsid w:val="005B2BCA"/>
    <w:rsid w:val="005B3616"/>
    <w:rsid w:val="005B37AB"/>
    <w:rsid w:val="005B4DC5"/>
    <w:rsid w:val="005B4FB3"/>
    <w:rsid w:val="005B505B"/>
    <w:rsid w:val="005B5246"/>
    <w:rsid w:val="005B528A"/>
    <w:rsid w:val="005B5485"/>
    <w:rsid w:val="005B5546"/>
    <w:rsid w:val="005B5B6F"/>
    <w:rsid w:val="005B5E86"/>
    <w:rsid w:val="005B678C"/>
    <w:rsid w:val="005B719C"/>
    <w:rsid w:val="005B730C"/>
    <w:rsid w:val="005B750D"/>
    <w:rsid w:val="005B77D8"/>
    <w:rsid w:val="005C0C3C"/>
    <w:rsid w:val="005C0ED4"/>
    <w:rsid w:val="005C3C13"/>
    <w:rsid w:val="005C418E"/>
    <w:rsid w:val="005C64D8"/>
    <w:rsid w:val="005C73D7"/>
    <w:rsid w:val="005C7E2E"/>
    <w:rsid w:val="005C7FAA"/>
    <w:rsid w:val="005D0036"/>
    <w:rsid w:val="005D3BBD"/>
    <w:rsid w:val="005D4274"/>
    <w:rsid w:val="005D4B88"/>
    <w:rsid w:val="005D622F"/>
    <w:rsid w:val="005D664E"/>
    <w:rsid w:val="005D6922"/>
    <w:rsid w:val="005D7196"/>
    <w:rsid w:val="005D746F"/>
    <w:rsid w:val="005D7D52"/>
    <w:rsid w:val="005E0031"/>
    <w:rsid w:val="005E0ADB"/>
    <w:rsid w:val="005E1495"/>
    <w:rsid w:val="005E152D"/>
    <w:rsid w:val="005E1891"/>
    <w:rsid w:val="005E189A"/>
    <w:rsid w:val="005E1920"/>
    <w:rsid w:val="005E2468"/>
    <w:rsid w:val="005E31BC"/>
    <w:rsid w:val="005E446B"/>
    <w:rsid w:val="005E4E99"/>
    <w:rsid w:val="005E6416"/>
    <w:rsid w:val="005E6628"/>
    <w:rsid w:val="005E689D"/>
    <w:rsid w:val="005E699B"/>
    <w:rsid w:val="005E6D7D"/>
    <w:rsid w:val="005E6E3D"/>
    <w:rsid w:val="005E70B1"/>
    <w:rsid w:val="005E7554"/>
    <w:rsid w:val="005E7896"/>
    <w:rsid w:val="005E7D26"/>
    <w:rsid w:val="005E7E31"/>
    <w:rsid w:val="005F0001"/>
    <w:rsid w:val="005F006C"/>
    <w:rsid w:val="005F0368"/>
    <w:rsid w:val="005F0B21"/>
    <w:rsid w:val="005F1578"/>
    <w:rsid w:val="005F15AA"/>
    <w:rsid w:val="005F1B79"/>
    <w:rsid w:val="005F1E10"/>
    <w:rsid w:val="005F2B5A"/>
    <w:rsid w:val="005F2FCE"/>
    <w:rsid w:val="005F3500"/>
    <w:rsid w:val="005F4898"/>
    <w:rsid w:val="005F4BE7"/>
    <w:rsid w:val="005F4E4F"/>
    <w:rsid w:val="005F4EE7"/>
    <w:rsid w:val="005F59C5"/>
    <w:rsid w:val="005F63FE"/>
    <w:rsid w:val="005F6B28"/>
    <w:rsid w:val="005F6F05"/>
    <w:rsid w:val="005F7248"/>
    <w:rsid w:val="005F7CF3"/>
    <w:rsid w:val="005F7EF8"/>
    <w:rsid w:val="00602071"/>
    <w:rsid w:val="00602296"/>
    <w:rsid w:val="006027A9"/>
    <w:rsid w:val="006027FA"/>
    <w:rsid w:val="006029A4"/>
    <w:rsid w:val="00602EB5"/>
    <w:rsid w:val="0060311B"/>
    <w:rsid w:val="00604130"/>
    <w:rsid w:val="0060432A"/>
    <w:rsid w:val="00604A71"/>
    <w:rsid w:val="00605A68"/>
    <w:rsid w:val="00606E28"/>
    <w:rsid w:val="00607269"/>
    <w:rsid w:val="00607936"/>
    <w:rsid w:val="00607EA6"/>
    <w:rsid w:val="00607EC1"/>
    <w:rsid w:val="0061016B"/>
    <w:rsid w:val="00610962"/>
    <w:rsid w:val="00610A1E"/>
    <w:rsid w:val="006112BE"/>
    <w:rsid w:val="006115A1"/>
    <w:rsid w:val="006119DD"/>
    <w:rsid w:val="00613441"/>
    <w:rsid w:val="00613708"/>
    <w:rsid w:val="00613DD5"/>
    <w:rsid w:val="00613E15"/>
    <w:rsid w:val="00613F3C"/>
    <w:rsid w:val="006144D1"/>
    <w:rsid w:val="006145DB"/>
    <w:rsid w:val="006154C5"/>
    <w:rsid w:val="00615B68"/>
    <w:rsid w:val="00615CAD"/>
    <w:rsid w:val="00616081"/>
    <w:rsid w:val="00616118"/>
    <w:rsid w:val="006161C1"/>
    <w:rsid w:val="00616FCD"/>
    <w:rsid w:val="00617DDA"/>
    <w:rsid w:val="0062049F"/>
    <w:rsid w:val="00620961"/>
    <w:rsid w:val="00620F51"/>
    <w:rsid w:val="006216FB"/>
    <w:rsid w:val="0062239E"/>
    <w:rsid w:val="0062250C"/>
    <w:rsid w:val="0062268E"/>
    <w:rsid w:val="00622C1B"/>
    <w:rsid w:val="00622E0E"/>
    <w:rsid w:val="00624059"/>
    <w:rsid w:val="00624F02"/>
    <w:rsid w:val="006251FE"/>
    <w:rsid w:val="00625BB1"/>
    <w:rsid w:val="006263CB"/>
    <w:rsid w:val="00626628"/>
    <w:rsid w:val="006272D3"/>
    <w:rsid w:val="00630187"/>
    <w:rsid w:val="00630193"/>
    <w:rsid w:val="006309CD"/>
    <w:rsid w:val="00631538"/>
    <w:rsid w:val="00631CF7"/>
    <w:rsid w:val="0063252D"/>
    <w:rsid w:val="00633474"/>
    <w:rsid w:val="00633C47"/>
    <w:rsid w:val="00634255"/>
    <w:rsid w:val="00634421"/>
    <w:rsid w:val="00634518"/>
    <w:rsid w:val="00634D38"/>
    <w:rsid w:val="00635EF4"/>
    <w:rsid w:val="0064058D"/>
    <w:rsid w:val="006407D0"/>
    <w:rsid w:val="00640A1F"/>
    <w:rsid w:val="00640C4B"/>
    <w:rsid w:val="006417FB"/>
    <w:rsid w:val="00641CBB"/>
    <w:rsid w:val="0064378B"/>
    <w:rsid w:val="00643859"/>
    <w:rsid w:val="00643F3A"/>
    <w:rsid w:val="00644DDA"/>
    <w:rsid w:val="00644DF2"/>
    <w:rsid w:val="00644F43"/>
    <w:rsid w:val="0064510D"/>
    <w:rsid w:val="00645C32"/>
    <w:rsid w:val="00645DF9"/>
    <w:rsid w:val="0064605A"/>
    <w:rsid w:val="006467C1"/>
    <w:rsid w:val="00646D77"/>
    <w:rsid w:val="0064763C"/>
    <w:rsid w:val="0064794C"/>
    <w:rsid w:val="00650043"/>
    <w:rsid w:val="00650A23"/>
    <w:rsid w:val="00650AA3"/>
    <w:rsid w:val="00650ECE"/>
    <w:rsid w:val="00651477"/>
    <w:rsid w:val="0065178C"/>
    <w:rsid w:val="00651AF3"/>
    <w:rsid w:val="00651F9E"/>
    <w:rsid w:val="006529AA"/>
    <w:rsid w:val="00652EB0"/>
    <w:rsid w:val="0065338A"/>
    <w:rsid w:val="00653890"/>
    <w:rsid w:val="006557A6"/>
    <w:rsid w:val="00655ECD"/>
    <w:rsid w:val="0065616A"/>
    <w:rsid w:val="0065684D"/>
    <w:rsid w:val="00656C48"/>
    <w:rsid w:val="00656DB1"/>
    <w:rsid w:val="006571EE"/>
    <w:rsid w:val="0065720C"/>
    <w:rsid w:val="00660C7E"/>
    <w:rsid w:val="00661579"/>
    <w:rsid w:val="006616FB"/>
    <w:rsid w:val="0066181E"/>
    <w:rsid w:val="006621D6"/>
    <w:rsid w:val="0066220C"/>
    <w:rsid w:val="006624F4"/>
    <w:rsid w:val="0066267D"/>
    <w:rsid w:val="00662FA2"/>
    <w:rsid w:val="006639A3"/>
    <w:rsid w:val="00663D93"/>
    <w:rsid w:val="0066470A"/>
    <w:rsid w:val="006648A8"/>
    <w:rsid w:val="00664922"/>
    <w:rsid w:val="00666421"/>
    <w:rsid w:val="0066658C"/>
    <w:rsid w:val="00666657"/>
    <w:rsid w:val="00666C1C"/>
    <w:rsid w:val="00667A71"/>
    <w:rsid w:val="00670A6B"/>
    <w:rsid w:val="00671102"/>
    <w:rsid w:val="00671BB8"/>
    <w:rsid w:val="00671D1B"/>
    <w:rsid w:val="00672159"/>
    <w:rsid w:val="00673FF9"/>
    <w:rsid w:val="0067565D"/>
    <w:rsid w:val="00675855"/>
    <w:rsid w:val="00675E94"/>
    <w:rsid w:val="00676180"/>
    <w:rsid w:val="00676B63"/>
    <w:rsid w:val="00677E0A"/>
    <w:rsid w:val="00680421"/>
    <w:rsid w:val="006804EF"/>
    <w:rsid w:val="00681108"/>
    <w:rsid w:val="00681589"/>
    <w:rsid w:val="006815A6"/>
    <w:rsid w:val="006816C0"/>
    <w:rsid w:val="00681AD7"/>
    <w:rsid w:val="00682076"/>
    <w:rsid w:val="00682C63"/>
    <w:rsid w:val="006832E2"/>
    <w:rsid w:val="00683BF1"/>
    <w:rsid w:val="00683E29"/>
    <w:rsid w:val="006846DF"/>
    <w:rsid w:val="0068479C"/>
    <w:rsid w:val="0068597A"/>
    <w:rsid w:val="00687295"/>
    <w:rsid w:val="0068772B"/>
    <w:rsid w:val="00687989"/>
    <w:rsid w:val="0069009D"/>
    <w:rsid w:val="00690634"/>
    <w:rsid w:val="00690706"/>
    <w:rsid w:val="00690AC4"/>
    <w:rsid w:val="00691B3F"/>
    <w:rsid w:val="00691F4E"/>
    <w:rsid w:val="006922E1"/>
    <w:rsid w:val="00692DF3"/>
    <w:rsid w:val="00692EBD"/>
    <w:rsid w:val="006935E9"/>
    <w:rsid w:val="006938D7"/>
    <w:rsid w:val="00693CE6"/>
    <w:rsid w:val="006941E9"/>
    <w:rsid w:val="006942FE"/>
    <w:rsid w:val="00694A81"/>
    <w:rsid w:val="00695135"/>
    <w:rsid w:val="006951B8"/>
    <w:rsid w:val="0069542D"/>
    <w:rsid w:val="00695D72"/>
    <w:rsid w:val="0069694D"/>
    <w:rsid w:val="00697C44"/>
    <w:rsid w:val="00697CBE"/>
    <w:rsid w:val="006A0220"/>
    <w:rsid w:val="006A02BA"/>
    <w:rsid w:val="006A0541"/>
    <w:rsid w:val="006A1345"/>
    <w:rsid w:val="006A182D"/>
    <w:rsid w:val="006A1CB3"/>
    <w:rsid w:val="006A3190"/>
    <w:rsid w:val="006A33E1"/>
    <w:rsid w:val="006A4115"/>
    <w:rsid w:val="006A4119"/>
    <w:rsid w:val="006A417A"/>
    <w:rsid w:val="006A4520"/>
    <w:rsid w:val="006A587D"/>
    <w:rsid w:val="006A5DE5"/>
    <w:rsid w:val="006A70FD"/>
    <w:rsid w:val="006B101F"/>
    <w:rsid w:val="006B243B"/>
    <w:rsid w:val="006B24B2"/>
    <w:rsid w:val="006B2BCB"/>
    <w:rsid w:val="006B31D9"/>
    <w:rsid w:val="006B34FB"/>
    <w:rsid w:val="006B369C"/>
    <w:rsid w:val="006B3BE2"/>
    <w:rsid w:val="006B457F"/>
    <w:rsid w:val="006B4AF4"/>
    <w:rsid w:val="006B4F86"/>
    <w:rsid w:val="006B5079"/>
    <w:rsid w:val="006B512D"/>
    <w:rsid w:val="006B5267"/>
    <w:rsid w:val="006B59CF"/>
    <w:rsid w:val="006B5E63"/>
    <w:rsid w:val="006B6090"/>
    <w:rsid w:val="006B66B4"/>
    <w:rsid w:val="006B6ADA"/>
    <w:rsid w:val="006B7208"/>
    <w:rsid w:val="006B72D3"/>
    <w:rsid w:val="006C051A"/>
    <w:rsid w:val="006C06ED"/>
    <w:rsid w:val="006C07A1"/>
    <w:rsid w:val="006C0D5D"/>
    <w:rsid w:val="006C176E"/>
    <w:rsid w:val="006C1C67"/>
    <w:rsid w:val="006C1CA7"/>
    <w:rsid w:val="006C207A"/>
    <w:rsid w:val="006C2B89"/>
    <w:rsid w:val="006C372B"/>
    <w:rsid w:val="006C3D37"/>
    <w:rsid w:val="006C425C"/>
    <w:rsid w:val="006C448E"/>
    <w:rsid w:val="006C4C6C"/>
    <w:rsid w:val="006C4F26"/>
    <w:rsid w:val="006C516A"/>
    <w:rsid w:val="006C581A"/>
    <w:rsid w:val="006C582A"/>
    <w:rsid w:val="006C5C23"/>
    <w:rsid w:val="006C6001"/>
    <w:rsid w:val="006C64DE"/>
    <w:rsid w:val="006C64EC"/>
    <w:rsid w:val="006C69CF"/>
    <w:rsid w:val="006C6E0D"/>
    <w:rsid w:val="006C7288"/>
    <w:rsid w:val="006C7680"/>
    <w:rsid w:val="006D00A9"/>
    <w:rsid w:val="006D1416"/>
    <w:rsid w:val="006D1439"/>
    <w:rsid w:val="006D200E"/>
    <w:rsid w:val="006D20BD"/>
    <w:rsid w:val="006D20C3"/>
    <w:rsid w:val="006D22D0"/>
    <w:rsid w:val="006D29D8"/>
    <w:rsid w:val="006D2A28"/>
    <w:rsid w:val="006D2BD1"/>
    <w:rsid w:val="006D3F10"/>
    <w:rsid w:val="006D4343"/>
    <w:rsid w:val="006D45EE"/>
    <w:rsid w:val="006D4B15"/>
    <w:rsid w:val="006D4E0C"/>
    <w:rsid w:val="006D515F"/>
    <w:rsid w:val="006D703C"/>
    <w:rsid w:val="006D7450"/>
    <w:rsid w:val="006E0101"/>
    <w:rsid w:val="006E0E29"/>
    <w:rsid w:val="006E0F1A"/>
    <w:rsid w:val="006E10B2"/>
    <w:rsid w:val="006E229B"/>
    <w:rsid w:val="006E25DA"/>
    <w:rsid w:val="006E2D98"/>
    <w:rsid w:val="006E39A3"/>
    <w:rsid w:val="006E574B"/>
    <w:rsid w:val="006E668E"/>
    <w:rsid w:val="006E6F8A"/>
    <w:rsid w:val="006E7315"/>
    <w:rsid w:val="006E7368"/>
    <w:rsid w:val="006E7AB7"/>
    <w:rsid w:val="006E7B42"/>
    <w:rsid w:val="006F03D8"/>
    <w:rsid w:val="006F0D9D"/>
    <w:rsid w:val="006F1A12"/>
    <w:rsid w:val="006F2511"/>
    <w:rsid w:val="006F25DB"/>
    <w:rsid w:val="006F2EEF"/>
    <w:rsid w:val="006F2FA4"/>
    <w:rsid w:val="006F3019"/>
    <w:rsid w:val="006F3CD6"/>
    <w:rsid w:val="006F3D3F"/>
    <w:rsid w:val="006F4D12"/>
    <w:rsid w:val="006F4F1E"/>
    <w:rsid w:val="006F55A9"/>
    <w:rsid w:val="007000E2"/>
    <w:rsid w:val="0070032C"/>
    <w:rsid w:val="00700994"/>
    <w:rsid w:val="00701629"/>
    <w:rsid w:val="007017F6"/>
    <w:rsid w:val="00701C62"/>
    <w:rsid w:val="00702103"/>
    <w:rsid w:val="00702B37"/>
    <w:rsid w:val="007040E9"/>
    <w:rsid w:val="00705819"/>
    <w:rsid w:val="00706140"/>
    <w:rsid w:val="007069C3"/>
    <w:rsid w:val="00706BC5"/>
    <w:rsid w:val="00707B33"/>
    <w:rsid w:val="00707D27"/>
    <w:rsid w:val="007105D5"/>
    <w:rsid w:val="00710973"/>
    <w:rsid w:val="00710B0E"/>
    <w:rsid w:val="00710B39"/>
    <w:rsid w:val="00711253"/>
    <w:rsid w:val="007112EA"/>
    <w:rsid w:val="007112FF"/>
    <w:rsid w:val="0071141E"/>
    <w:rsid w:val="007114E1"/>
    <w:rsid w:val="00711704"/>
    <w:rsid w:val="00712D7C"/>
    <w:rsid w:val="00713306"/>
    <w:rsid w:val="0071346E"/>
    <w:rsid w:val="00714904"/>
    <w:rsid w:val="00714CCC"/>
    <w:rsid w:val="00715729"/>
    <w:rsid w:val="00715FE5"/>
    <w:rsid w:val="00717D64"/>
    <w:rsid w:val="007201BB"/>
    <w:rsid w:val="00720F3F"/>
    <w:rsid w:val="00721181"/>
    <w:rsid w:val="00721AA6"/>
    <w:rsid w:val="00721F0E"/>
    <w:rsid w:val="00721FC8"/>
    <w:rsid w:val="00721FE7"/>
    <w:rsid w:val="007232F7"/>
    <w:rsid w:val="00724045"/>
    <w:rsid w:val="0072473A"/>
    <w:rsid w:val="00724887"/>
    <w:rsid w:val="00725DD5"/>
    <w:rsid w:val="00725EA3"/>
    <w:rsid w:val="00725FD1"/>
    <w:rsid w:val="0072632B"/>
    <w:rsid w:val="0072650E"/>
    <w:rsid w:val="007267A8"/>
    <w:rsid w:val="0072687A"/>
    <w:rsid w:val="00726F5A"/>
    <w:rsid w:val="0072717D"/>
    <w:rsid w:val="00727376"/>
    <w:rsid w:val="007276B1"/>
    <w:rsid w:val="007276C9"/>
    <w:rsid w:val="00727716"/>
    <w:rsid w:val="00727808"/>
    <w:rsid w:val="00727EAC"/>
    <w:rsid w:val="007302A3"/>
    <w:rsid w:val="007306A0"/>
    <w:rsid w:val="00730BF1"/>
    <w:rsid w:val="0073144C"/>
    <w:rsid w:val="007317CF"/>
    <w:rsid w:val="00731978"/>
    <w:rsid w:val="00731D6F"/>
    <w:rsid w:val="007325BD"/>
    <w:rsid w:val="00732652"/>
    <w:rsid w:val="00734A7C"/>
    <w:rsid w:val="007350CF"/>
    <w:rsid w:val="007356B2"/>
    <w:rsid w:val="00736A33"/>
    <w:rsid w:val="007373BE"/>
    <w:rsid w:val="00737552"/>
    <w:rsid w:val="0073785D"/>
    <w:rsid w:val="00737C28"/>
    <w:rsid w:val="007406D6"/>
    <w:rsid w:val="007407AE"/>
    <w:rsid w:val="007409A4"/>
    <w:rsid w:val="00740F30"/>
    <w:rsid w:val="00741B04"/>
    <w:rsid w:val="00741C19"/>
    <w:rsid w:val="00741EB9"/>
    <w:rsid w:val="00741F9C"/>
    <w:rsid w:val="0074320F"/>
    <w:rsid w:val="00743C5A"/>
    <w:rsid w:val="00743EB7"/>
    <w:rsid w:val="00743F77"/>
    <w:rsid w:val="00744D85"/>
    <w:rsid w:val="00745776"/>
    <w:rsid w:val="00745FCA"/>
    <w:rsid w:val="007464C3"/>
    <w:rsid w:val="00746C60"/>
    <w:rsid w:val="00746DDA"/>
    <w:rsid w:val="007474A9"/>
    <w:rsid w:val="00747DC6"/>
    <w:rsid w:val="00747DF1"/>
    <w:rsid w:val="00750247"/>
    <w:rsid w:val="0075088A"/>
    <w:rsid w:val="00750A14"/>
    <w:rsid w:val="007510CA"/>
    <w:rsid w:val="007511B1"/>
    <w:rsid w:val="00752187"/>
    <w:rsid w:val="007524D8"/>
    <w:rsid w:val="007526FB"/>
    <w:rsid w:val="007528AB"/>
    <w:rsid w:val="00752ACA"/>
    <w:rsid w:val="0075310A"/>
    <w:rsid w:val="007542DB"/>
    <w:rsid w:val="00754418"/>
    <w:rsid w:val="0075445F"/>
    <w:rsid w:val="007546F8"/>
    <w:rsid w:val="00755DA6"/>
    <w:rsid w:val="00755F0A"/>
    <w:rsid w:val="007561FA"/>
    <w:rsid w:val="00756E8E"/>
    <w:rsid w:val="0075793B"/>
    <w:rsid w:val="007600C3"/>
    <w:rsid w:val="00760163"/>
    <w:rsid w:val="00762D9D"/>
    <w:rsid w:val="007630FC"/>
    <w:rsid w:val="00763564"/>
    <w:rsid w:val="00764798"/>
    <w:rsid w:val="00764FC3"/>
    <w:rsid w:val="0076520A"/>
    <w:rsid w:val="007660CA"/>
    <w:rsid w:val="00766966"/>
    <w:rsid w:val="00766A7C"/>
    <w:rsid w:val="00767037"/>
    <w:rsid w:val="00767844"/>
    <w:rsid w:val="00767E9E"/>
    <w:rsid w:val="00770400"/>
    <w:rsid w:val="00771616"/>
    <w:rsid w:val="00771B0E"/>
    <w:rsid w:val="00771EB8"/>
    <w:rsid w:val="00772ABE"/>
    <w:rsid w:val="00772C25"/>
    <w:rsid w:val="00772C8C"/>
    <w:rsid w:val="00772D7B"/>
    <w:rsid w:val="007735B6"/>
    <w:rsid w:val="0077377F"/>
    <w:rsid w:val="007740FC"/>
    <w:rsid w:val="00774178"/>
    <w:rsid w:val="0077430A"/>
    <w:rsid w:val="00775C11"/>
    <w:rsid w:val="00777267"/>
    <w:rsid w:val="00777E6C"/>
    <w:rsid w:val="00781481"/>
    <w:rsid w:val="007817C0"/>
    <w:rsid w:val="00782D29"/>
    <w:rsid w:val="0078401A"/>
    <w:rsid w:val="0078417F"/>
    <w:rsid w:val="007846BB"/>
    <w:rsid w:val="00786952"/>
    <w:rsid w:val="00786FDD"/>
    <w:rsid w:val="0078793C"/>
    <w:rsid w:val="0079035D"/>
    <w:rsid w:val="00790D40"/>
    <w:rsid w:val="007914D2"/>
    <w:rsid w:val="00791579"/>
    <w:rsid w:val="007917B1"/>
    <w:rsid w:val="00791941"/>
    <w:rsid w:val="00792052"/>
    <w:rsid w:val="007927C6"/>
    <w:rsid w:val="00793D87"/>
    <w:rsid w:val="0079512D"/>
    <w:rsid w:val="00795862"/>
    <w:rsid w:val="007958FF"/>
    <w:rsid w:val="00795D71"/>
    <w:rsid w:val="00795F30"/>
    <w:rsid w:val="00796154"/>
    <w:rsid w:val="0079772A"/>
    <w:rsid w:val="007A0512"/>
    <w:rsid w:val="007A0650"/>
    <w:rsid w:val="007A0B3A"/>
    <w:rsid w:val="007A0CC3"/>
    <w:rsid w:val="007A195D"/>
    <w:rsid w:val="007A1D45"/>
    <w:rsid w:val="007A23A5"/>
    <w:rsid w:val="007A24FA"/>
    <w:rsid w:val="007A2BD6"/>
    <w:rsid w:val="007A2DFC"/>
    <w:rsid w:val="007A2EF6"/>
    <w:rsid w:val="007A2FC2"/>
    <w:rsid w:val="007A39D3"/>
    <w:rsid w:val="007A4B6B"/>
    <w:rsid w:val="007A4D43"/>
    <w:rsid w:val="007A5467"/>
    <w:rsid w:val="007A57B1"/>
    <w:rsid w:val="007A58B3"/>
    <w:rsid w:val="007A613A"/>
    <w:rsid w:val="007A6A86"/>
    <w:rsid w:val="007A6AE8"/>
    <w:rsid w:val="007A7056"/>
    <w:rsid w:val="007A728F"/>
    <w:rsid w:val="007A78B2"/>
    <w:rsid w:val="007A79E8"/>
    <w:rsid w:val="007B10A7"/>
    <w:rsid w:val="007B1413"/>
    <w:rsid w:val="007B15E0"/>
    <w:rsid w:val="007B18A7"/>
    <w:rsid w:val="007B23CB"/>
    <w:rsid w:val="007B2486"/>
    <w:rsid w:val="007B34C1"/>
    <w:rsid w:val="007B3B5B"/>
    <w:rsid w:val="007B3CC1"/>
    <w:rsid w:val="007B3F11"/>
    <w:rsid w:val="007B4650"/>
    <w:rsid w:val="007B5A88"/>
    <w:rsid w:val="007B5DA9"/>
    <w:rsid w:val="007B6046"/>
    <w:rsid w:val="007B6099"/>
    <w:rsid w:val="007B6108"/>
    <w:rsid w:val="007B6934"/>
    <w:rsid w:val="007B6C38"/>
    <w:rsid w:val="007B7388"/>
    <w:rsid w:val="007B76AA"/>
    <w:rsid w:val="007C0998"/>
    <w:rsid w:val="007C1895"/>
    <w:rsid w:val="007C1E06"/>
    <w:rsid w:val="007C1E4F"/>
    <w:rsid w:val="007C2CF0"/>
    <w:rsid w:val="007C3920"/>
    <w:rsid w:val="007C3C68"/>
    <w:rsid w:val="007C400C"/>
    <w:rsid w:val="007C4621"/>
    <w:rsid w:val="007C46E0"/>
    <w:rsid w:val="007C5624"/>
    <w:rsid w:val="007C5D1B"/>
    <w:rsid w:val="007C5DF4"/>
    <w:rsid w:val="007C6D01"/>
    <w:rsid w:val="007C7DD0"/>
    <w:rsid w:val="007D0064"/>
    <w:rsid w:val="007D0267"/>
    <w:rsid w:val="007D0270"/>
    <w:rsid w:val="007D02D7"/>
    <w:rsid w:val="007D0D9E"/>
    <w:rsid w:val="007D0DFB"/>
    <w:rsid w:val="007D0F13"/>
    <w:rsid w:val="007D1559"/>
    <w:rsid w:val="007D1FDC"/>
    <w:rsid w:val="007D21E4"/>
    <w:rsid w:val="007D280C"/>
    <w:rsid w:val="007D3ABF"/>
    <w:rsid w:val="007D3D1B"/>
    <w:rsid w:val="007D425C"/>
    <w:rsid w:val="007D4650"/>
    <w:rsid w:val="007D4A52"/>
    <w:rsid w:val="007D4D4F"/>
    <w:rsid w:val="007D5483"/>
    <w:rsid w:val="007D58E7"/>
    <w:rsid w:val="007D5AE4"/>
    <w:rsid w:val="007D6DAD"/>
    <w:rsid w:val="007D6EF0"/>
    <w:rsid w:val="007D7AB9"/>
    <w:rsid w:val="007D7AF9"/>
    <w:rsid w:val="007D7F89"/>
    <w:rsid w:val="007E02E3"/>
    <w:rsid w:val="007E060C"/>
    <w:rsid w:val="007E18E8"/>
    <w:rsid w:val="007E2069"/>
    <w:rsid w:val="007E20F9"/>
    <w:rsid w:val="007E28EB"/>
    <w:rsid w:val="007E310F"/>
    <w:rsid w:val="007E3BB3"/>
    <w:rsid w:val="007E3CFD"/>
    <w:rsid w:val="007E4DFC"/>
    <w:rsid w:val="007E51A6"/>
    <w:rsid w:val="007E5424"/>
    <w:rsid w:val="007E5A57"/>
    <w:rsid w:val="007E6668"/>
    <w:rsid w:val="007E6DD0"/>
    <w:rsid w:val="007E71B0"/>
    <w:rsid w:val="007E7A4B"/>
    <w:rsid w:val="007E7F2A"/>
    <w:rsid w:val="007F014F"/>
    <w:rsid w:val="007F0331"/>
    <w:rsid w:val="007F2274"/>
    <w:rsid w:val="007F30E4"/>
    <w:rsid w:val="007F3882"/>
    <w:rsid w:val="007F3CB4"/>
    <w:rsid w:val="007F3E41"/>
    <w:rsid w:val="007F4209"/>
    <w:rsid w:val="007F4239"/>
    <w:rsid w:val="007F53B1"/>
    <w:rsid w:val="007F5F4E"/>
    <w:rsid w:val="007F72CA"/>
    <w:rsid w:val="007F7956"/>
    <w:rsid w:val="007F7CB3"/>
    <w:rsid w:val="0080025A"/>
    <w:rsid w:val="00800B7E"/>
    <w:rsid w:val="00802CA5"/>
    <w:rsid w:val="00804760"/>
    <w:rsid w:val="008056CD"/>
    <w:rsid w:val="00805AC3"/>
    <w:rsid w:val="0080674A"/>
    <w:rsid w:val="008074B9"/>
    <w:rsid w:val="0080759A"/>
    <w:rsid w:val="00810240"/>
    <w:rsid w:val="0081247E"/>
    <w:rsid w:val="00812997"/>
    <w:rsid w:val="00812BE2"/>
    <w:rsid w:val="0081303B"/>
    <w:rsid w:val="00813801"/>
    <w:rsid w:val="00814E4C"/>
    <w:rsid w:val="00815352"/>
    <w:rsid w:val="0081559B"/>
    <w:rsid w:val="008155F9"/>
    <w:rsid w:val="0081696C"/>
    <w:rsid w:val="0081706E"/>
    <w:rsid w:val="008179C1"/>
    <w:rsid w:val="008179FE"/>
    <w:rsid w:val="00817A60"/>
    <w:rsid w:val="0082006D"/>
    <w:rsid w:val="008204F5"/>
    <w:rsid w:val="008205CF"/>
    <w:rsid w:val="0082089C"/>
    <w:rsid w:val="00820A4D"/>
    <w:rsid w:val="00820B5F"/>
    <w:rsid w:val="008218AF"/>
    <w:rsid w:val="0082262D"/>
    <w:rsid w:val="00822BD3"/>
    <w:rsid w:val="0082370B"/>
    <w:rsid w:val="00823F46"/>
    <w:rsid w:val="00824667"/>
    <w:rsid w:val="0082494C"/>
    <w:rsid w:val="00824AD3"/>
    <w:rsid w:val="00824BB0"/>
    <w:rsid w:val="00826690"/>
    <w:rsid w:val="00826717"/>
    <w:rsid w:val="008276AF"/>
    <w:rsid w:val="0082783F"/>
    <w:rsid w:val="00827BD6"/>
    <w:rsid w:val="008307EC"/>
    <w:rsid w:val="00830973"/>
    <w:rsid w:val="00830F30"/>
    <w:rsid w:val="00831841"/>
    <w:rsid w:val="00831A7D"/>
    <w:rsid w:val="00831A84"/>
    <w:rsid w:val="00831BE0"/>
    <w:rsid w:val="00831DF1"/>
    <w:rsid w:val="00832918"/>
    <w:rsid w:val="00832A89"/>
    <w:rsid w:val="0083316D"/>
    <w:rsid w:val="0083350F"/>
    <w:rsid w:val="008349CA"/>
    <w:rsid w:val="00836755"/>
    <w:rsid w:val="00836B24"/>
    <w:rsid w:val="00836B26"/>
    <w:rsid w:val="008372C2"/>
    <w:rsid w:val="00837ABB"/>
    <w:rsid w:val="00837B8D"/>
    <w:rsid w:val="00837D59"/>
    <w:rsid w:val="00837FD1"/>
    <w:rsid w:val="00840094"/>
    <w:rsid w:val="008416E4"/>
    <w:rsid w:val="00841BFB"/>
    <w:rsid w:val="00842CD7"/>
    <w:rsid w:val="00842D4F"/>
    <w:rsid w:val="00844244"/>
    <w:rsid w:val="0084427C"/>
    <w:rsid w:val="008446EB"/>
    <w:rsid w:val="00844DDD"/>
    <w:rsid w:val="00845765"/>
    <w:rsid w:val="00845F1C"/>
    <w:rsid w:val="008462ED"/>
    <w:rsid w:val="0084645A"/>
    <w:rsid w:val="008465E4"/>
    <w:rsid w:val="008467FF"/>
    <w:rsid w:val="00847564"/>
    <w:rsid w:val="0084787D"/>
    <w:rsid w:val="00847A52"/>
    <w:rsid w:val="00850274"/>
    <w:rsid w:val="00850ABE"/>
    <w:rsid w:val="00851A7A"/>
    <w:rsid w:val="00851C07"/>
    <w:rsid w:val="00852616"/>
    <w:rsid w:val="00853B79"/>
    <w:rsid w:val="0085460C"/>
    <w:rsid w:val="00854B40"/>
    <w:rsid w:val="00854BFD"/>
    <w:rsid w:val="008550A2"/>
    <w:rsid w:val="008557A2"/>
    <w:rsid w:val="00855BB8"/>
    <w:rsid w:val="0085600D"/>
    <w:rsid w:val="008561A6"/>
    <w:rsid w:val="00856A5C"/>
    <w:rsid w:val="00856A77"/>
    <w:rsid w:val="00856C5E"/>
    <w:rsid w:val="00857252"/>
    <w:rsid w:val="00857377"/>
    <w:rsid w:val="00857E0B"/>
    <w:rsid w:val="008605C3"/>
    <w:rsid w:val="00860D58"/>
    <w:rsid w:val="00860E88"/>
    <w:rsid w:val="00861ABD"/>
    <w:rsid w:val="00861B64"/>
    <w:rsid w:val="00861C7A"/>
    <w:rsid w:val="008624C2"/>
    <w:rsid w:val="00862E0F"/>
    <w:rsid w:val="008632AA"/>
    <w:rsid w:val="0086354B"/>
    <w:rsid w:val="0086364F"/>
    <w:rsid w:val="008637A6"/>
    <w:rsid w:val="00863B8D"/>
    <w:rsid w:val="00864F2B"/>
    <w:rsid w:val="00865A06"/>
    <w:rsid w:val="00865AAA"/>
    <w:rsid w:val="00865F2D"/>
    <w:rsid w:val="008662EA"/>
    <w:rsid w:val="008670C6"/>
    <w:rsid w:val="00867A8D"/>
    <w:rsid w:val="008706DE"/>
    <w:rsid w:val="00871250"/>
    <w:rsid w:val="00871BD3"/>
    <w:rsid w:val="00872913"/>
    <w:rsid w:val="00872AC1"/>
    <w:rsid w:val="00873117"/>
    <w:rsid w:val="008731FA"/>
    <w:rsid w:val="00874828"/>
    <w:rsid w:val="00874D1D"/>
    <w:rsid w:val="00875D3C"/>
    <w:rsid w:val="00876062"/>
    <w:rsid w:val="0087656A"/>
    <w:rsid w:val="00876662"/>
    <w:rsid w:val="00876850"/>
    <w:rsid w:val="00876BC5"/>
    <w:rsid w:val="00876EA0"/>
    <w:rsid w:val="00877339"/>
    <w:rsid w:val="008812E4"/>
    <w:rsid w:val="00881366"/>
    <w:rsid w:val="00881456"/>
    <w:rsid w:val="008821D7"/>
    <w:rsid w:val="00882798"/>
    <w:rsid w:val="00883EE5"/>
    <w:rsid w:val="00883F1B"/>
    <w:rsid w:val="0088410E"/>
    <w:rsid w:val="008852B2"/>
    <w:rsid w:val="00885472"/>
    <w:rsid w:val="008854B6"/>
    <w:rsid w:val="008854E0"/>
    <w:rsid w:val="00885B3E"/>
    <w:rsid w:val="0088611A"/>
    <w:rsid w:val="008863EF"/>
    <w:rsid w:val="00887FA5"/>
    <w:rsid w:val="008902CA"/>
    <w:rsid w:val="00891A49"/>
    <w:rsid w:val="00892439"/>
    <w:rsid w:val="008939D4"/>
    <w:rsid w:val="008961C6"/>
    <w:rsid w:val="0089660F"/>
    <w:rsid w:val="00896A80"/>
    <w:rsid w:val="00896B0B"/>
    <w:rsid w:val="00897145"/>
    <w:rsid w:val="00897CD5"/>
    <w:rsid w:val="008A0075"/>
    <w:rsid w:val="008A076B"/>
    <w:rsid w:val="008A1273"/>
    <w:rsid w:val="008A15F5"/>
    <w:rsid w:val="008A2088"/>
    <w:rsid w:val="008A3795"/>
    <w:rsid w:val="008A3935"/>
    <w:rsid w:val="008A3AC9"/>
    <w:rsid w:val="008A3B3A"/>
    <w:rsid w:val="008A468F"/>
    <w:rsid w:val="008A49DC"/>
    <w:rsid w:val="008A531E"/>
    <w:rsid w:val="008A55CA"/>
    <w:rsid w:val="008A5AAB"/>
    <w:rsid w:val="008A6B02"/>
    <w:rsid w:val="008A6DC0"/>
    <w:rsid w:val="008A7680"/>
    <w:rsid w:val="008B072E"/>
    <w:rsid w:val="008B07EF"/>
    <w:rsid w:val="008B09DB"/>
    <w:rsid w:val="008B0A98"/>
    <w:rsid w:val="008B0CCA"/>
    <w:rsid w:val="008B1C92"/>
    <w:rsid w:val="008B336B"/>
    <w:rsid w:val="008B34DB"/>
    <w:rsid w:val="008B35A7"/>
    <w:rsid w:val="008B4016"/>
    <w:rsid w:val="008B4614"/>
    <w:rsid w:val="008B4774"/>
    <w:rsid w:val="008B4D4F"/>
    <w:rsid w:val="008B53E4"/>
    <w:rsid w:val="008C1489"/>
    <w:rsid w:val="008C161E"/>
    <w:rsid w:val="008C1A50"/>
    <w:rsid w:val="008C2135"/>
    <w:rsid w:val="008C2316"/>
    <w:rsid w:val="008C291B"/>
    <w:rsid w:val="008C335F"/>
    <w:rsid w:val="008C4D47"/>
    <w:rsid w:val="008C65C4"/>
    <w:rsid w:val="008C6616"/>
    <w:rsid w:val="008C681A"/>
    <w:rsid w:val="008D0018"/>
    <w:rsid w:val="008D132E"/>
    <w:rsid w:val="008D24AA"/>
    <w:rsid w:val="008D2A19"/>
    <w:rsid w:val="008D2E6A"/>
    <w:rsid w:val="008D32D5"/>
    <w:rsid w:val="008D3567"/>
    <w:rsid w:val="008D3570"/>
    <w:rsid w:val="008D386E"/>
    <w:rsid w:val="008D39A6"/>
    <w:rsid w:val="008D4527"/>
    <w:rsid w:val="008D48E3"/>
    <w:rsid w:val="008D4B46"/>
    <w:rsid w:val="008D5049"/>
    <w:rsid w:val="008D547B"/>
    <w:rsid w:val="008D5A68"/>
    <w:rsid w:val="008D6884"/>
    <w:rsid w:val="008D6BF5"/>
    <w:rsid w:val="008D6E9A"/>
    <w:rsid w:val="008D6F4E"/>
    <w:rsid w:val="008D7161"/>
    <w:rsid w:val="008D783A"/>
    <w:rsid w:val="008E0347"/>
    <w:rsid w:val="008E06FF"/>
    <w:rsid w:val="008E0CC8"/>
    <w:rsid w:val="008E110E"/>
    <w:rsid w:val="008E1CEF"/>
    <w:rsid w:val="008E1E77"/>
    <w:rsid w:val="008E35F9"/>
    <w:rsid w:val="008E3641"/>
    <w:rsid w:val="008E4197"/>
    <w:rsid w:val="008E4B58"/>
    <w:rsid w:val="008E5A77"/>
    <w:rsid w:val="008E5F5B"/>
    <w:rsid w:val="008E6501"/>
    <w:rsid w:val="008E685F"/>
    <w:rsid w:val="008E692C"/>
    <w:rsid w:val="008E6CD0"/>
    <w:rsid w:val="008E6D4F"/>
    <w:rsid w:val="008E6F98"/>
    <w:rsid w:val="008E79F9"/>
    <w:rsid w:val="008F02C5"/>
    <w:rsid w:val="008F09DC"/>
    <w:rsid w:val="008F09EB"/>
    <w:rsid w:val="008F0BC2"/>
    <w:rsid w:val="008F0EBB"/>
    <w:rsid w:val="008F1473"/>
    <w:rsid w:val="008F14AD"/>
    <w:rsid w:val="008F1891"/>
    <w:rsid w:val="008F1ECB"/>
    <w:rsid w:val="008F1F69"/>
    <w:rsid w:val="008F2053"/>
    <w:rsid w:val="008F2962"/>
    <w:rsid w:val="008F29A3"/>
    <w:rsid w:val="008F2E20"/>
    <w:rsid w:val="008F2E34"/>
    <w:rsid w:val="008F434D"/>
    <w:rsid w:val="008F4B2E"/>
    <w:rsid w:val="008F52BC"/>
    <w:rsid w:val="008F59D2"/>
    <w:rsid w:val="008F5B15"/>
    <w:rsid w:val="008F5B7D"/>
    <w:rsid w:val="008F5D0B"/>
    <w:rsid w:val="008F67B4"/>
    <w:rsid w:val="008F7615"/>
    <w:rsid w:val="00900040"/>
    <w:rsid w:val="009003C0"/>
    <w:rsid w:val="00900CCB"/>
    <w:rsid w:val="00900D1D"/>
    <w:rsid w:val="009013C1"/>
    <w:rsid w:val="00901714"/>
    <w:rsid w:val="00901742"/>
    <w:rsid w:val="00901B17"/>
    <w:rsid w:val="00901D6B"/>
    <w:rsid w:val="009025A7"/>
    <w:rsid w:val="009025F2"/>
    <w:rsid w:val="00902ADC"/>
    <w:rsid w:val="00903072"/>
    <w:rsid w:val="009030A9"/>
    <w:rsid w:val="0090352C"/>
    <w:rsid w:val="00903B40"/>
    <w:rsid w:val="00903B80"/>
    <w:rsid w:val="00903FF5"/>
    <w:rsid w:val="00904738"/>
    <w:rsid w:val="009057A5"/>
    <w:rsid w:val="0090665E"/>
    <w:rsid w:val="00910FF6"/>
    <w:rsid w:val="009115A1"/>
    <w:rsid w:val="0091197A"/>
    <w:rsid w:val="00912018"/>
    <w:rsid w:val="00912A37"/>
    <w:rsid w:val="00912A4E"/>
    <w:rsid w:val="009133FD"/>
    <w:rsid w:val="00913801"/>
    <w:rsid w:val="0091384A"/>
    <w:rsid w:val="009140AF"/>
    <w:rsid w:val="009157D1"/>
    <w:rsid w:val="009158E4"/>
    <w:rsid w:val="0091599C"/>
    <w:rsid w:val="00915B73"/>
    <w:rsid w:val="0091671D"/>
    <w:rsid w:val="00917354"/>
    <w:rsid w:val="00917B4C"/>
    <w:rsid w:val="00917C8D"/>
    <w:rsid w:val="00917D56"/>
    <w:rsid w:val="00920252"/>
    <w:rsid w:val="00920625"/>
    <w:rsid w:val="009209A9"/>
    <w:rsid w:val="009209DC"/>
    <w:rsid w:val="0092117C"/>
    <w:rsid w:val="009212FD"/>
    <w:rsid w:val="009218D7"/>
    <w:rsid w:val="00922280"/>
    <w:rsid w:val="009223C8"/>
    <w:rsid w:val="009225F3"/>
    <w:rsid w:val="0092289E"/>
    <w:rsid w:val="009228E4"/>
    <w:rsid w:val="00922B23"/>
    <w:rsid w:val="009230BD"/>
    <w:rsid w:val="0092383E"/>
    <w:rsid w:val="00923935"/>
    <w:rsid w:val="00923AC4"/>
    <w:rsid w:val="00923C99"/>
    <w:rsid w:val="00923D8E"/>
    <w:rsid w:val="009242A5"/>
    <w:rsid w:val="0092435B"/>
    <w:rsid w:val="00925077"/>
    <w:rsid w:val="0092575D"/>
    <w:rsid w:val="0092630D"/>
    <w:rsid w:val="00926711"/>
    <w:rsid w:val="0092699C"/>
    <w:rsid w:val="00926C46"/>
    <w:rsid w:val="00926DB9"/>
    <w:rsid w:val="00927299"/>
    <w:rsid w:val="009273F2"/>
    <w:rsid w:val="0092771C"/>
    <w:rsid w:val="00927D7B"/>
    <w:rsid w:val="00931815"/>
    <w:rsid w:val="00932018"/>
    <w:rsid w:val="00932C1E"/>
    <w:rsid w:val="00933AB6"/>
    <w:rsid w:val="00934DC6"/>
    <w:rsid w:val="009350FC"/>
    <w:rsid w:val="0093594F"/>
    <w:rsid w:val="00935F10"/>
    <w:rsid w:val="00936CCB"/>
    <w:rsid w:val="009372BD"/>
    <w:rsid w:val="00937FF4"/>
    <w:rsid w:val="009404DA"/>
    <w:rsid w:val="00940593"/>
    <w:rsid w:val="0094073A"/>
    <w:rsid w:val="009409EB"/>
    <w:rsid w:val="00940DD1"/>
    <w:rsid w:val="00940FEF"/>
    <w:rsid w:val="0094179F"/>
    <w:rsid w:val="00941991"/>
    <w:rsid w:val="00942401"/>
    <w:rsid w:val="00942598"/>
    <w:rsid w:val="009425AF"/>
    <w:rsid w:val="00942C85"/>
    <w:rsid w:val="00942EBF"/>
    <w:rsid w:val="009433F7"/>
    <w:rsid w:val="00944256"/>
    <w:rsid w:val="00944707"/>
    <w:rsid w:val="00944973"/>
    <w:rsid w:val="00944CBA"/>
    <w:rsid w:val="00944D0F"/>
    <w:rsid w:val="00945A23"/>
    <w:rsid w:val="0094698B"/>
    <w:rsid w:val="009474DE"/>
    <w:rsid w:val="00950756"/>
    <w:rsid w:val="0095075E"/>
    <w:rsid w:val="0095081C"/>
    <w:rsid w:val="00951770"/>
    <w:rsid w:val="00951C15"/>
    <w:rsid w:val="00951DAC"/>
    <w:rsid w:val="00951DEF"/>
    <w:rsid w:val="00952BCB"/>
    <w:rsid w:val="00953844"/>
    <w:rsid w:val="009538F1"/>
    <w:rsid w:val="009539D3"/>
    <w:rsid w:val="009540F1"/>
    <w:rsid w:val="0095442E"/>
    <w:rsid w:val="009555AF"/>
    <w:rsid w:val="0095577D"/>
    <w:rsid w:val="0095580A"/>
    <w:rsid w:val="00956220"/>
    <w:rsid w:val="00957BCC"/>
    <w:rsid w:val="00957F29"/>
    <w:rsid w:val="00960566"/>
    <w:rsid w:val="0096074C"/>
    <w:rsid w:val="00961C4F"/>
    <w:rsid w:val="0096238D"/>
    <w:rsid w:val="00962924"/>
    <w:rsid w:val="00962AC9"/>
    <w:rsid w:val="009630E6"/>
    <w:rsid w:val="0096422E"/>
    <w:rsid w:val="00964E48"/>
    <w:rsid w:val="00965412"/>
    <w:rsid w:val="00965671"/>
    <w:rsid w:val="00966600"/>
    <w:rsid w:val="00966CED"/>
    <w:rsid w:val="00967992"/>
    <w:rsid w:val="00967F52"/>
    <w:rsid w:val="00970673"/>
    <w:rsid w:val="00970EBD"/>
    <w:rsid w:val="009718F6"/>
    <w:rsid w:val="00971C29"/>
    <w:rsid w:val="00971C86"/>
    <w:rsid w:val="0097212B"/>
    <w:rsid w:val="009728AB"/>
    <w:rsid w:val="00972983"/>
    <w:rsid w:val="00972ADE"/>
    <w:rsid w:val="00972DA5"/>
    <w:rsid w:val="00973906"/>
    <w:rsid w:val="00973E0A"/>
    <w:rsid w:val="009748E9"/>
    <w:rsid w:val="00974A68"/>
    <w:rsid w:val="00975154"/>
    <w:rsid w:val="0097535B"/>
    <w:rsid w:val="0097666F"/>
    <w:rsid w:val="00976A80"/>
    <w:rsid w:val="00977062"/>
    <w:rsid w:val="00977404"/>
    <w:rsid w:val="0097754E"/>
    <w:rsid w:val="00977897"/>
    <w:rsid w:val="009806DB"/>
    <w:rsid w:val="009807B6"/>
    <w:rsid w:val="00980C94"/>
    <w:rsid w:val="00980D55"/>
    <w:rsid w:val="00981578"/>
    <w:rsid w:val="00982268"/>
    <w:rsid w:val="009825EF"/>
    <w:rsid w:val="009841EC"/>
    <w:rsid w:val="00984882"/>
    <w:rsid w:val="00984A1B"/>
    <w:rsid w:val="00984F33"/>
    <w:rsid w:val="0098510E"/>
    <w:rsid w:val="0098523B"/>
    <w:rsid w:val="00985431"/>
    <w:rsid w:val="0098561B"/>
    <w:rsid w:val="00985645"/>
    <w:rsid w:val="00985C92"/>
    <w:rsid w:val="00985CC7"/>
    <w:rsid w:val="00985EFB"/>
    <w:rsid w:val="00985F6F"/>
    <w:rsid w:val="00987D95"/>
    <w:rsid w:val="0099045C"/>
    <w:rsid w:val="00990BCD"/>
    <w:rsid w:val="009914D7"/>
    <w:rsid w:val="009917FA"/>
    <w:rsid w:val="0099199F"/>
    <w:rsid w:val="009920F9"/>
    <w:rsid w:val="009924BF"/>
    <w:rsid w:val="00992D19"/>
    <w:rsid w:val="00993162"/>
    <w:rsid w:val="00993ABE"/>
    <w:rsid w:val="00993F26"/>
    <w:rsid w:val="00994C63"/>
    <w:rsid w:val="00994D6F"/>
    <w:rsid w:val="00995A57"/>
    <w:rsid w:val="00996A13"/>
    <w:rsid w:val="009973C9"/>
    <w:rsid w:val="0099757D"/>
    <w:rsid w:val="00997C75"/>
    <w:rsid w:val="00997FBC"/>
    <w:rsid w:val="009A0540"/>
    <w:rsid w:val="009A1702"/>
    <w:rsid w:val="009A231A"/>
    <w:rsid w:val="009A2587"/>
    <w:rsid w:val="009A261E"/>
    <w:rsid w:val="009A266D"/>
    <w:rsid w:val="009A3B20"/>
    <w:rsid w:val="009A3B69"/>
    <w:rsid w:val="009A465D"/>
    <w:rsid w:val="009A4C0F"/>
    <w:rsid w:val="009A4EE1"/>
    <w:rsid w:val="009A5213"/>
    <w:rsid w:val="009A52DC"/>
    <w:rsid w:val="009A55B4"/>
    <w:rsid w:val="009A56B5"/>
    <w:rsid w:val="009A655C"/>
    <w:rsid w:val="009B06FB"/>
    <w:rsid w:val="009B07F5"/>
    <w:rsid w:val="009B09C8"/>
    <w:rsid w:val="009B199B"/>
    <w:rsid w:val="009B1E3B"/>
    <w:rsid w:val="009B2ECF"/>
    <w:rsid w:val="009B33DA"/>
    <w:rsid w:val="009B35F6"/>
    <w:rsid w:val="009B3692"/>
    <w:rsid w:val="009B3FC6"/>
    <w:rsid w:val="009B47DB"/>
    <w:rsid w:val="009B4AB6"/>
    <w:rsid w:val="009B5346"/>
    <w:rsid w:val="009B541F"/>
    <w:rsid w:val="009B5AEA"/>
    <w:rsid w:val="009B5B63"/>
    <w:rsid w:val="009B5F26"/>
    <w:rsid w:val="009B62C2"/>
    <w:rsid w:val="009B64DC"/>
    <w:rsid w:val="009B6539"/>
    <w:rsid w:val="009B66B8"/>
    <w:rsid w:val="009B6B4E"/>
    <w:rsid w:val="009B6BEE"/>
    <w:rsid w:val="009B7C37"/>
    <w:rsid w:val="009B7D2D"/>
    <w:rsid w:val="009C02A5"/>
    <w:rsid w:val="009C0415"/>
    <w:rsid w:val="009C068F"/>
    <w:rsid w:val="009C0E03"/>
    <w:rsid w:val="009C10DB"/>
    <w:rsid w:val="009C1317"/>
    <w:rsid w:val="009C2D3E"/>
    <w:rsid w:val="009C309A"/>
    <w:rsid w:val="009C31F6"/>
    <w:rsid w:val="009C38AC"/>
    <w:rsid w:val="009C4259"/>
    <w:rsid w:val="009C66D7"/>
    <w:rsid w:val="009C6A19"/>
    <w:rsid w:val="009C7AF4"/>
    <w:rsid w:val="009C7FBB"/>
    <w:rsid w:val="009D0187"/>
    <w:rsid w:val="009D0F41"/>
    <w:rsid w:val="009D1A41"/>
    <w:rsid w:val="009D1AC3"/>
    <w:rsid w:val="009D1E80"/>
    <w:rsid w:val="009D2C3A"/>
    <w:rsid w:val="009D2C93"/>
    <w:rsid w:val="009D3E91"/>
    <w:rsid w:val="009D4444"/>
    <w:rsid w:val="009D46D7"/>
    <w:rsid w:val="009D4F32"/>
    <w:rsid w:val="009D559E"/>
    <w:rsid w:val="009D66AD"/>
    <w:rsid w:val="009D67BA"/>
    <w:rsid w:val="009D6B2B"/>
    <w:rsid w:val="009D7234"/>
    <w:rsid w:val="009D7AA5"/>
    <w:rsid w:val="009D7E84"/>
    <w:rsid w:val="009E0633"/>
    <w:rsid w:val="009E0732"/>
    <w:rsid w:val="009E1353"/>
    <w:rsid w:val="009E207E"/>
    <w:rsid w:val="009E21FD"/>
    <w:rsid w:val="009E2E72"/>
    <w:rsid w:val="009E3057"/>
    <w:rsid w:val="009E3166"/>
    <w:rsid w:val="009E487A"/>
    <w:rsid w:val="009E4D79"/>
    <w:rsid w:val="009E507F"/>
    <w:rsid w:val="009E5F5E"/>
    <w:rsid w:val="009E679D"/>
    <w:rsid w:val="009E6F99"/>
    <w:rsid w:val="009E73EA"/>
    <w:rsid w:val="009E7BC6"/>
    <w:rsid w:val="009E7F2A"/>
    <w:rsid w:val="009F17EB"/>
    <w:rsid w:val="009F1A8A"/>
    <w:rsid w:val="009F2786"/>
    <w:rsid w:val="009F32AC"/>
    <w:rsid w:val="009F341A"/>
    <w:rsid w:val="009F3FB7"/>
    <w:rsid w:val="009F4016"/>
    <w:rsid w:val="009F4A7F"/>
    <w:rsid w:val="009F525C"/>
    <w:rsid w:val="009F5333"/>
    <w:rsid w:val="009F5B3C"/>
    <w:rsid w:val="009F6374"/>
    <w:rsid w:val="009F70CD"/>
    <w:rsid w:val="009F7170"/>
    <w:rsid w:val="009F76DD"/>
    <w:rsid w:val="009F7E4B"/>
    <w:rsid w:val="00A00258"/>
    <w:rsid w:val="00A002C7"/>
    <w:rsid w:val="00A00867"/>
    <w:rsid w:val="00A0120D"/>
    <w:rsid w:val="00A013D2"/>
    <w:rsid w:val="00A016B3"/>
    <w:rsid w:val="00A01722"/>
    <w:rsid w:val="00A02A37"/>
    <w:rsid w:val="00A040D0"/>
    <w:rsid w:val="00A04D76"/>
    <w:rsid w:val="00A05206"/>
    <w:rsid w:val="00A059EB"/>
    <w:rsid w:val="00A05A43"/>
    <w:rsid w:val="00A05D40"/>
    <w:rsid w:val="00A06001"/>
    <w:rsid w:val="00A06EF7"/>
    <w:rsid w:val="00A070E2"/>
    <w:rsid w:val="00A07E81"/>
    <w:rsid w:val="00A1036A"/>
    <w:rsid w:val="00A10421"/>
    <w:rsid w:val="00A10925"/>
    <w:rsid w:val="00A11141"/>
    <w:rsid w:val="00A1166E"/>
    <w:rsid w:val="00A1281D"/>
    <w:rsid w:val="00A12A30"/>
    <w:rsid w:val="00A14065"/>
    <w:rsid w:val="00A15468"/>
    <w:rsid w:val="00A154DB"/>
    <w:rsid w:val="00A15736"/>
    <w:rsid w:val="00A1633C"/>
    <w:rsid w:val="00A16597"/>
    <w:rsid w:val="00A16644"/>
    <w:rsid w:val="00A17418"/>
    <w:rsid w:val="00A17466"/>
    <w:rsid w:val="00A178A4"/>
    <w:rsid w:val="00A204F6"/>
    <w:rsid w:val="00A20682"/>
    <w:rsid w:val="00A21072"/>
    <w:rsid w:val="00A21444"/>
    <w:rsid w:val="00A215A8"/>
    <w:rsid w:val="00A23D52"/>
    <w:rsid w:val="00A24E86"/>
    <w:rsid w:val="00A256CB"/>
    <w:rsid w:val="00A2591D"/>
    <w:rsid w:val="00A259E0"/>
    <w:rsid w:val="00A26073"/>
    <w:rsid w:val="00A26968"/>
    <w:rsid w:val="00A26BBF"/>
    <w:rsid w:val="00A26C30"/>
    <w:rsid w:val="00A26E6A"/>
    <w:rsid w:val="00A27618"/>
    <w:rsid w:val="00A278A0"/>
    <w:rsid w:val="00A27B1B"/>
    <w:rsid w:val="00A27C67"/>
    <w:rsid w:val="00A30E6E"/>
    <w:rsid w:val="00A30EAE"/>
    <w:rsid w:val="00A316B4"/>
    <w:rsid w:val="00A31B0C"/>
    <w:rsid w:val="00A31BEF"/>
    <w:rsid w:val="00A32870"/>
    <w:rsid w:val="00A32E92"/>
    <w:rsid w:val="00A336A7"/>
    <w:rsid w:val="00A33AF9"/>
    <w:rsid w:val="00A34546"/>
    <w:rsid w:val="00A34BD3"/>
    <w:rsid w:val="00A35946"/>
    <w:rsid w:val="00A35E78"/>
    <w:rsid w:val="00A37435"/>
    <w:rsid w:val="00A3784B"/>
    <w:rsid w:val="00A378A0"/>
    <w:rsid w:val="00A37CF4"/>
    <w:rsid w:val="00A40F4D"/>
    <w:rsid w:val="00A41C88"/>
    <w:rsid w:val="00A41EAF"/>
    <w:rsid w:val="00A421AD"/>
    <w:rsid w:val="00A429AB"/>
    <w:rsid w:val="00A42AE9"/>
    <w:rsid w:val="00A42E31"/>
    <w:rsid w:val="00A42EE0"/>
    <w:rsid w:val="00A42F50"/>
    <w:rsid w:val="00A439CC"/>
    <w:rsid w:val="00A443E1"/>
    <w:rsid w:val="00A4464D"/>
    <w:rsid w:val="00A46795"/>
    <w:rsid w:val="00A46804"/>
    <w:rsid w:val="00A46937"/>
    <w:rsid w:val="00A46C85"/>
    <w:rsid w:val="00A473FD"/>
    <w:rsid w:val="00A47663"/>
    <w:rsid w:val="00A47E11"/>
    <w:rsid w:val="00A47E21"/>
    <w:rsid w:val="00A500F8"/>
    <w:rsid w:val="00A5043B"/>
    <w:rsid w:val="00A50B34"/>
    <w:rsid w:val="00A51499"/>
    <w:rsid w:val="00A51981"/>
    <w:rsid w:val="00A5236D"/>
    <w:rsid w:val="00A52B34"/>
    <w:rsid w:val="00A5376C"/>
    <w:rsid w:val="00A53A80"/>
    <w:rsid w:val="00A53D57"/>
    <w:rsid w:val="00A53EDD"/>
    <w:rsid w:val="00A5439F"/>
    <w:rsid w:val="00A54A99"/>
    <w:rsid w:val="00A54EA5"/>
    <w:rsid w:val="00A54F6B"/>
    <w:rsid w:val="00A55F07"/>
    <w:rsid w:val="00A56671"/>
    <w:rsid w:val="00A5669A"/>
    <w:rsid w:val="00A57EBD"/>
    <w:rsid w:val="00A612B0"/>
    <w:rsid w:val="00A61B2B"/>
    <w:rsid w:val="00A61C12"/>
    <w:rsid w:val="00A6233A"/>
    <w:rsid w:val="00A62CA6"/>
    <w:rsid w:val="00A63B36"/>
    <w:rsid w:val="00A64A10"/>
    <w:rsid w:val="00A64CE8"/>
    <w:rsid w:val="00A64D1B"/>
    <w:rsid w:val="00A7003B"/>
    <w:rsid w:val="00A702D8"/>
    <w:rsid w:val="00A706B0"/>
    <w:rsid w:val="00A7079B"/>
    <w:rsid w:val="00A70F9A"/>
    <w:rsid w:val="00A71915"/>
    <w:rsid w:val="00A71971"/>
    <w:rsid w:val="00A737D7"/>
    <w:rsid w:val="00A7423B"/>
    <w:rsid w:val="00A74DDC"/>
    <w:rsid w:val="00A755E8"/>
    <w:rsid w:val="00A760DF"/>
    <w:rsid w:val="00A761A3"/>
    <w:rsid w:val="00A7755C"/>
    <w:rsid w:val="00A778B0"/>
    <w:rsid w:val="00A8017B"/>
    <w:rsid w:val="00A8069D"/>
    <w:rsid w:val="00A8157E"/>
    <w:rsid w:val="00A81DED"/>
    <w:rsid w:val="00A826F6"/>
    <w:rsid w:val="00A82957"/>
    <w:rsid w:val="00A82DF5"/>
    <w:rsid w:val="00A830D4"/>
    <w:rsid w:val="00A83408"/>
    <w:rsid w:val="00A835C4"/>
    <w:rsid w:val="00A836BC"/>
    <w:rsid w:val="00A860DB"/>
    <w:rsid w:val="00A86A05"/>
    <w:rsid w:val="00A86C7A"/>
    <w:rsid w:val="00A86F6B"/>
    <w:rsid w:val="00A87794"/>
    <w:rsid w:val="00A878C3"/>
    <w:rsid w:val="00A87B6B"/>
    <w:rsid w:val="00A9079C"/>
    <w:rsid w:val="00A91B1C"/>
    <w:rsid w:val="00A943B8"/>
    <w:rsid w:val="00A94D50"/>
    <w:rsid w:val="00A94E3D"/>
    <w:rsid w:val="00A94EE2"/>
    <w:rsid w:val="00A960D1"/>
    <w:rsid w:val="00A96327"/>
    <w:rsid w:val="00A96334"/>
    <w:rsid w:val="00A96F1E"/>
    <w:rsid w:val="00A975E2"/>
    <w:rsid w:val="00A97D4C"/>
    <w:rsid w:val="00A97E69"/>
    <w:rsid w:val="00AA0724"/>
    <w:rsid w:val="00AA08B2"/>
    <w:rsid w:val="00AA1310"/>
    <w:rsid w:val="00AA160C"/>
    <w:rsid w:val="00AA25CF"/>
    <w:rsid w:val="00AA336E"/>
    <w:rsid w:val="00AA3844"/>
    <w:rsid w:val="00AA3A89"/>
    <w:rsid w:val="00AA4E6C"/>
    <w:rsid w:val="00AA514C"/>
    <w:rsid w:val="00AA7F42"/>
    <w:rsid w:val="00AA7F6B"/>
    <w:rsid w:val="00AB10EB"/>
    <w:rsid w:val="00AB597A"/>
    <w:rsid w:val="00AB63CA"/>
    <w:rsid w:val="00AB73DD"/>
    <w:rsid w:val="00AB7665"/>
    <w:rsid w:val="00AB7A0D"/>
    <w:rsid w:val="00AC0E4E"/>
    <w:rsid w:val="00AC0E58"/>
    <w:rsid w:val="00AC11AA"/>
    <w:rsid w:val="00AC1799"/>
    <w:rsid w:val="00AC268D"/>
    <w:rsid w:val="00AC2C93"/>
    <w:rsid w:val="00AC2F23"/>
    <w:rsid w:val="00AC5B04"/>
    <w:rsid w:val="00AC7057"/>
    <w:rsid w:val="00AC7B6C"/>
    <w:rsid w:val="00AC7BF3"/>
    <w:rsid w:val="00AC7CB6"/>
    <w:rsid w:val="00AC7D1E"/>
    <w:rsid w:val="00AD0074"/>
    <w:rsid w:val="00AD210A"/>
    <w:rsid w:val="00AD2584"/>
    <w:rsid w:val="00AD2A78"/>
    <w:rsid w:val="00AD2FA7"/>
    <w:rsid w:val="00AD2FD0"/>
    <w:rsid w:val="00AD31F9"/>
    <w:rsid w:val="00AD37ED"/>
    <w:rsid w:val="00AD3AAF"/>
    <w:rsid w:val="00AD3D32"/>
    <w:rsid w:val="00AD427C"/>
    <w:rsid w:val="00AD42BA"/>
    <w:rsid w:val="00AD435A"/>
    <w:rsid w:val="00AD522B"/>
    <w:rsid w:val="00AD53D7"/>
    <w:rsid w:val="00AD5892"/>
    <w:rsid w:val="00AD674C"/>
    <w:rsid w:val="00AD6D65"/>
    <w:rsid w:val="00AD6FD5"/>
    <w:rsid w:val="00AD716E"/>
    <w:rsid w:val="00AD745B"/>
    <w:rsid w:val="00AD78BD"/>
    <w:rsid w:val="00AE0651"/>
    <w:rsid w:val="00AE167A"/>
    <w:rsid w:val="00AE1D1D"/>
    <w:rsid w:val="00AE1D37"/>
    <w:rsid w:val="00AE20C4"/>
    <w:rsid w:val="00AE2C54"/>
    <w:rsid w:val="00AE2CFF"/>
    <w:rsid w:val="00AE3BE4"/>
    <w:rsid w:val="00AE3DF9"/>
    <w:rsid w:val="00AE4C7F"/>
    <w:rsid w:val="00AE5178"/>
    <w:rsid w:val="00AE67DD"/>
    <w:rsid w:val="00AE708B"/>
    <w:rsid w:val="00AE7F2E"/>
    <w:rsid w:val="00AF007C"/>
    <w:rsid w:val="00AF0759"/>
    <w:rsid w:val="00AF0C91"/>
    <w:rsid w:val="00AF1BEF"/>
    <w:rsid w:val="00AF1DB8"/>
    <w:rsid w:val="00AF27B4"/>
    <w:rsid w:val="00AF2A8C"/>
    <w:rsid w:val="00AF2B0F"/>
    <w:rsid w:val="00AF2BCD"/>
    <w:rsid w:val="00AF3819"/>
    <w:rsid w:val="00AF3EAB"/>
    <w:rsid w:val="00AF42ED"/>
    <w:rsid w:val="00AF48F1"/>
    <w:rsid w:val="00AF4CA3"/>
    <w:rsid w:val="00AF4EA3"/>
    <w:rsid w:val="00AF51DD"/>
    <w:rsid w:val="00AF5992"/>
    <w:rsid w:val="00AF60EB"/>
    <w:rsid w:val="00AF6A90"/>
    <w:rsid w:val="00AF7AF3"/>
    <w:rsid w:val="00B00128"/>
    <w:rsid w:val="00B00E0E"/>
    <w:rsid w:val="00B0155D"/>
    <w:rsid w:val="00B019A2"/>
    <w:rsid w:val="00B02BEF"/>
    <w:rsid w:val="00B03B49"/>
    <w:rsid w:val="00B03D16"/>
    <w:rsid w:val="00B03FC8"/>
    <w:rsid w:val="00B04AA6"/>
    <w:rsid w:val="00B04EEF"/>
    <w:rsid w:val="00B04F83"/>
    <w:rsid w:val="00B050EA"/>
    <w:rsid w:val="00B056B0"/>
    <w:rsid w:val="00B062A4"/>
    <w:rsid w:val="00B068C2"/>
    <w:rsid w:val="00B06989"/>
    <w:rsid w:val="00B06F8A"/>
    <w:rsid w:val="00B0775F"/>
    <w:rsid w:val="00B07A49"/>
    <w:rsid w:val="00B07EAB"/>
    <w:rsid w:val="00B106CB"/>
    <w:rsid w:val="00B110C6"/>
    <w:rsid w:val="00B11250"/>
    <w:rsid w:val="00B115DB"/>
    <w:rsid w:val="00B11BD3"/>
    <w:rsid w:val="00B12046"/>
    <w:rsid w:val="00B12248"/>
    <w:rsid w:val="00B12933"/>
    <w:rsid w:val="00B12B20"/>
    <w:rsid w:val="00B131F8"/>
    <w:rsid w:val="00B136F2"/>
    <w:rsid w:val="00B14F42"/>
    <w:rsid w:val="00B15178"/>
    <w:rsid w:val="00B15798"/>
    <w:rsid w:val="00B15CBB"/>
    <w:rsid w:val="00B15EB8"/>
    <w:rsid w:val="00B1661E"/>
    <w:rsid w:val="00B16FF6"/>
    <w:rsid w:val="00B17EB9"/>
    <w:rsid w:val="00B2147D"/>
    <w:rsid w:val="00B2178E"/>
    <w:rsid w:val="00B21CCE"/>
    <w:rsid w:val="00B22029"/>
    <w:rsid w:val="00B22105"/>
    <w:rsid w:val="00B2263C"/>
    <w:rsid w:val="00B22D51"/>
    <w:rsid w:val="00B234E3"/>
    <w:rsid w:val="00B23F2D"/>
    <w:rsid w:val="00B26A62"/>
    <w:rsid w:val="00B26E57"/>
    <w:rsid w:val="00B271DF"/>
    <w:rsid w:val="00B27ABC"/>
    <w:rsid w:val="00B3059E"/>
    <w:rsid w:val="00B30AA4"/>
    <w:rsid w:val="00B31DAD"/>
    <w:rsid w:val="00B32628"/>
    <w:rsid w:val="00B32935"/>
    <w:rsid w:val="00B33743"/>
    <w:rsid w:val="00B33D10"/>
    <w:rsid w:val="00B3459C"/>
    <w:rsid w:val="00B35571"/>
    <w:rsid w:val="00B35B51"/>
    <w:rsid w:val="00B35DAE"/>
    <w:rsid w:val="00B363B6"/>
    <w:rsid w:val="00B3720B"/>
    <w:rsid w:val="00B3736C"/>
    <w:rsid w:val="00B37A4A"/>
    <w:rsid w:val="00B40C4E"/>
    <w:rsid w:val="00B414A9"/>
    <w:rsid w:val="00B416CC"/>
    <w:rsid w:val="00B41F4F"/>
    <w:rsid w:val="00B4217A"/>
    <w:rsid w:val="00B421CE"/>
    <w:rsid w:val="00B42B9A"/>
    <w:rsid w:val="00B43D21"/>
    <w:rsid w:val="00B43ED7"/>
    <w:rsid w:val="00B442EF"/>
    <w:rsid w:val="00B4447F"/>
    <w:rsid w:val="00B44953"/>
    <w:rsid w:val="00B44B6A"/>
    <w:rsid w:val="00B44EEA"/>
    <w:rsid w:val="00B44F78"/>
    <w:rsid w:val="00B45155"/>
    <w:rsid w:val="00B4558A"/>
    <w:rsid w:val="00B45B08"/>
    <w:rsid w:val="00B46062"/>
    <w:rsid w:val="00B464DE"/>
    <w:rsid w:val="00B46770"/>
    <w:rsid w:val="00B47A19"/>
    <w:rsid w:val="00B50041"/>
    <w:rsid w:val="00B511E4"/>
    <w:rsid w:val="00B5157E"/>
    <w:rsid w:val="00B5295A"/>
    <w:rsid w:val="00B52A39"/>
    <w:rsid w:val="00B53A9B"/>
    <w:rsid w:val="00B540A3"/>
    <w:rsid w:val="00B54746"/>
    <w:rsid w:val="00B549B0"/>
    <w:rsid w:val="00B54E7B"/>
    <w:rsid w:val="00B54E9A"/>
    <w:rsid w:val="00B561E4"/>
    <w:rsid w:val="00B569F2"/>
    <w:rsid w:val="00B56FB8"/>
    <w:rsid w:val="00B57BE1"/>
    <w:rsid w:val="00B57F5B"/>
    <w:rsid w:val="00B60BAE"/>
    <w:rsid w:val="00B60C80"/>
    <w:rsid w:val="00B6137B"/>
    <w:rsid w:val="00B625D9"/>
    <w:rsid w:val="00B626FC"/>
    <w:rsid w:val="00B62B10"/>
    <w:rsid w:val="00B647AB"/>
    <w:rsid w:val="00B64BC5"/>
    <w:rsid w:val="00B64EB3"/>
    <w:rsid w:val="00B6521B"/>
    <w:rsid w:val="00B6534D"/>
    <w:rsid w:val="00B65E07"/>
    <w:rsid w:val="00B66B21"/>
    <w:rsid w:val="00B6714B"/>
    <w:rsid w:val="00B67AA4"/>
    <w:rsid w:val="00B67AC3"/>
    <w:rsid w:val="00B70134"/>
    <w:rsid w:val="00B70390"/>
    <w:rsid w:val="00B70965"/>
    <w:rsid w:val="00B70FE2"/>
    <w:rsid w:val="00B7126E"/>
    <w:rsid w:val="00B712AB"/>
    <w:rsid w:val="00B716B0"/>
    <w:rsid w:val="00B7258E"/>
    <w:rsid w:val="00B73683"/>
    <w:rsid w:val="00B736B0"/>
    <w:rsid w:val="00B73BD9"/>
    <w:rsid w:val="00B7447C"/>
    <w:rsid w:val="00B748F1"/>
    <w:rsid w:val="00B75289"/>
    <w:rsid w:val="00B7531F"/>
    <w:rsid w:val="00B75654"/>
    <w:rsid w:val="00B761A7"/>
    <w:rsid w:val="00B761E3"/>
    <w:rsid w:val="00B7627F"/>
    <w:rsid w:val="00B77456"/>
    <w:rsid w:val="00B80547"/>
    <w:rsid w:val="00B80E65"/>
    <w:rsid w:val="00B816E6"/>
    <w:rsid w:val="00B82135"/>
    <w:rsid w:val="00B821AA"/>
    <w:rsid w:val="00B83723"/>
    <w:rsid w:val="00B83BA9"/>
    <w:rsid w:val="00B83DB9"/>
    <w:rsid w:val="00B84029"/>
    <w:rsid w:val="00B846FE"/>
    <w:rsid w:val="00B84B7F"/>
    <w:rsid w:val="00B85172"/>
    <w:rsid w:val="00B85FEE"/>
    <w:rsid w:val="00B86283"/>
    <w:rsid w:val="00B864ED"/>
    <w:rsid w:val="00B86938"/>
    <w:rsid w:val="00B86C69"/>
    <w:rsid w:val="00B87161"/>
    <w:rsid w:val="00B87193"/>
    <w:rsid w:val="00B87410"/>
    <w:rsid w:val="00B8783D"/>
    <w:rsid w:val="00B900B2"/>
    <w:rsid w:val="00B9012E"/>
    <w:rsid w:val="00B90374"/>
    <w:rsid w:val="00B90569"/>
    <w:rsid w:val="00B90844"/>
    <w:rsid w:val="00B909A1"/>
    <w:rsid w:val="00B91497"/>
    <w:rsid w:val="00B919E9"/>
    <w:rsid w:val="00B921B8"/>
    <w:rsid w:val="00B92508"/>
    <w:rsid w:val="00B925FF"/>
    <w:rsid w:val="00B92C72"/>
    <w:rsid w:val="00B934EA"/>
    <w:rsid w:val="00B9539F"/>
    <w:rsid w:val="00B95C8B"/>
    <w:rsid w:val="00B95F25"/>
    <w:rsid w:val="00B96326"/>
    <w:rsid w:val="00B96F95"/>
    <w:rsid w:val="00B973D9"/>
    <w:rsid w:val="00B9753A"/>
    <w:rsid w:val="00BA0AFD"/>
    <w:rsid w:val="00BA1DC6"/>
    <w:rsid w:val="00BA1EAC"/>
    <w:rsid w:val="00BA2154"/>
    <w:rsid w:val="00BA24B1"/>
    <w:rsid w:val="00BA2EAC"/>
    <w:rsid w:val="00BA3200"/>
    <w:rsid w:val="00BA344A"/>
    <w:rsid w:val="00BA35F3"/>
    <w:rsid w:val="00BA393B"/>
    <w:rsid w:val="00BA4100"/>
    <w:rsid w:val="00BA43F2"/>
    <w:rsid w:val="00BA4561"/>
    <w:rsid w:val="00BA4E20"/>
    <w:rsid w:val="00BA516D"/>
    <w:rsid w:val="00BA6261"/>
    <w:rsid w:val="00BA6907"/>
    <w:rsid w:val="00BA69A9"/>
    <w:rsid w:val="00BA6E07"/>
    <w:rsid w:val="00BA7001"/>
    <w:rsid w:val="00BA732E"/>
    <w:rsid w:val="00BA7C12"/>
    <w:rsid w:val="00BA7D7D"/>
    <w:rsid w:val="00BB03E4"/>
    <w:rsid w:val="00BB12D0"/>
    <w:rsid w:val="00BB168C"/>
    <w:rsid w:val="00BB19FC"/>
    <w:rsid w:val="00BB1D3E"/>
    <w:rsid w:val="00BB23AC"/>
    <w:rsid w:val="00BB242E"/>
    <w:rsid w:val="00BB26AA"/>
    <w:rsid w:val="00BB3356"/>
    <w:rsid w:val="00BB451D"/>
    <w:rsid w:val="00BB5048"/>
    <w:rsid w:val="00BB54C5"/>
    <w:rsid w:val="00BB6616"/>
    <w:rsid w:val="00BB6C54"/>
    <w:rsid w:val="00BB7038"/>
    <w:rsid w:val="00BB73CF"/>
    <w:rsid w:val="00BC00FB"/>
    <w:rsid w:val="00BC089D"/>
    <w:rsid w:val="00BC101E"/>
    <w:rsid w:val="00BC114A"/>
    <w:rsid w:val="00BC1B7A"/>
    <w:rsid w:val="00BC1B87"/>
    <w:rsid w:val="00BC1EE3"/>
    <w:rsid w:val="00BC419F"/>
    <w:rsid w:val="00BC4992"/>
    <w:rsid w:val="00BC4B5D"/>
    <w:rsid w:val="00BC594B"/>
    <w:rsid w:val="00BC5DB5"/>
    <w:rsid w:val="00BC6379"/>
    <w:rsid w:val="00BC64B8"/>
    <w:rsid w:val="00BC726C"/>
    <w:rsid w:val="00BC7500"/>
    <w:rsid w:val="00BC7F59"/>
    <w:rsid w:val="00BD06C5"/>
    <w:rsid w:val="00BD07BE"/>
    <w:rsid w:val="00BD0C98"/>
    <w:rsid w:val="00BD0E02"/>
    <w:rsid w:val="00BD1324"/>
    <w:rsid w:val="00BD1363"/>
    <w:rsid w:val="00BD1559"/>
    <w:rsid w:val="00BD17D3"/>
    <w:rsid w:val="00BD20C5"/>
    <w:rsid w:val="00BD25F9"/>
    <w:rsid w:val="00BD2D85"/>
    <w:rsid w:val="00BD355E"/>
    <w:rsid w:val="00BD378D"/>
    <w:rsid w:val="00BD37C0"/>
    <w:rsid w:val="00BD391A"/>
    <w:rsid w:val="00BD39B8"/>
    <w:rsid w:val="00BD41E9"/>
    <w:rsid w:val="00BD447E"/>
    <w:rsid w:val="00BD46C2"/>
    <w:rsid w:val="00BD5DE0"/>
    <w:rsid w:val="00BD6620"/>
    <w:rsid w:val="00BD6661"/>
    <w:rsid w:val="00BD67DB"/>
    <w:rsid w:val="00BD6926"/>
    <w:rsid w:val="00BD69BB"/>
    <w:rsid w:val="00BD728B"/>
    <w:rsid w:val="00BD79A7"/>
    <w:rsid w:val="00BE0262"/>
    <w:rsid w:val="00BE04DE"/>
    <w:rsid w:val="00BE0887"/>
    <w:rsid w:val="00BE0CFB"/>
    <w:rsid w:val="00BE158B"/>
    <w:rsid w:val="00BE2160"/>
    <w:rsid w:val="00BE26A2"/>
    <w:rsid w:val="00BE2990"/>
    <w:rsid w:val="00BE367B"/>
    <w:rsid w:val="00BE3B80"/>
    <w:rsid w:val="00BE3EA8"/>
    <w:rsid w:val="00BE41FA"/>
    <w:rsid w:val="00BE42E3"/>
    <w:rsid w:val="00BE464B"/>
    <w:rsid w:val="00BE58A1"/>
    <w:rsid w:val="00BE5995"/>
    <w:rsid w:val="00BE6472"/>
    <w:rsid w:val="00BE6B0E"/>
    <w:rsid w:val="00BE6B54"/>
    <w:rsid w:val="00BE7803"/>
    <w:rsid w:val="00BF0725"/>
    <w:rsid w:val="00BF16B3"/>
    <w:rsid w:val="00BF17AA"/>
    <w:rsid w:val="00BF2239"/>
    <w:rsid w:val="00BF37E7"/>
    <w:rsid w:val="00BF3A19"/>
    <w:rsid w:val="00BF5903"/>
    <w:rsid w:val="00BF7FF2"/>
    <w:rsid w:val="00C006F0"/>
    <w:rsid w:val="00C00C4B"/>
    <w:rsid w:val="00C0350F"/>
    <w:rsid w:val="00C0357F"/>
    <w:rsid w:val="00C04AE3"/>
    <w:rsid w:val="00C04B85"/>
    <w:rsid w:val="00C050B0"/>
    <w:rsid w:val="00C05806"/>
    <w:rsid w:val="00C0684C"/>
    <w:rsid w:val="00C06E6B"/>
    <w:rsid w:val="00C07322"/>
    <w:rsid w:val="00C07DC6"/>
    <w:rsid w:val="00C10615"/>
    <w:rsid w:val="00C11F2B"/>
    <w:rsid w:val="00C12A52"/>
    <w:rsid w:val="00C12BB1"/>
    <w:rsid w:val="00C12D86"/>
    <w:rsid w:val="00C139F6"/>
    <w:rsid w:val="00C14376"/>
    <w:rsid w:val="00C145A7"/>
    <w:rsid w:val="00C145C3"/>
    <w:rsid w:val="00C14C76"/>
    <w:rsid w:val="00C14C90"/>
    <w:rsid w:val="00C15115"/>
    <w:rsid w:val="00C1527B"/>
    <w:rsid w:val="00C15DEF"/>
    <w:rsid w:val="00C16FA7"/>
    <w:rsid w:val="00C17670"/>
    <w:rsid w:val="00C17761"/>
    <w:rsid w:val="00C17BD9"/>
    <w:rsid w:val="00C17C0D"/>
    <w:rsid w:val="00C17E68"/>
    <w:rsid w:val="00C205FC"/>
    <w:rsid w:val="00C21627"/>
    <w:rsid w:val="00C22680"/>
    <w:rsid w:val="00C22BE9"/>
    <w:rsid w:val="00C232E2"/>
    <w:rsid w:val="00C234A8"/>
    <w:rsid w:val="00C23CD7"/>
    <w:rsid w:val="00C24420"/>
    <w:rsid w:val="00C246F9"/>
    <w:rsid w:val="00C248CB"/>
    <w:rsid w:val="00C252A9"/>
    <w:rsid w:val="00C2562C"/>
    <w:rsid w:val="00C2720B"/>
    <w:rsid w:val="00C272D4"/>
    <w:rsid w:val="00C27998"/>
    <w:rsid w:val="00C27ACB"/>
    <w:rsid w:val="00C27F20"/>
    <w:rsid w:val="00C300D2"/>
    <w:rsid w:val="00C30381"/>
    <w:rsid w:val="00C310A2"/>
    <w:rsid w:val="00C31915"/>
    <w:rsid w:val="00C31A85"/>
    <w:rsid w:val="00C3254D"/>
    <w:rsid w:val="00C32A48"/>
    <w:rsid w:val="00C32CA2"/>
    <w:rsid w:val="00C35192"/>
    <w:rsid w:val="00C35420"/>
    <w:rsid w:val="00C35D6E"/>
    <w:rsid w:val="00C363C7"/>
    <w:rsid w:val="00C36AE2"/>
    <w:rsid w:val="00C37104"/>
    <w:rsid w:val="00C37162"/>
    <w:rsid w:val="00C375B5"/>
    <w:rsid w:val="00C376A6"/>
    <w:rsid w:val="00C3771E"/>
    <w:rsid w:val="00C37C9F"/>
    <w:rsid w:val="00C37D43"/>
    <w:rsid w:val="00C402C6"/>
    <w:rsid w:val="00C40368"/>
    <w:rsid w:val="00C4260D"/>
    <w:rsid w:val="00C42A9E"/>
    <w:rsid w:val="00C433E0"/>
    <w:rsid w:val="00C44811"/>
    <w:rsid w:val="00C44A35"/>
    <w:rsid w:val="00C44D5D"/>
    <w:rsid w:val="00C450C0"/>
    <w:rsid w:val="00C45B40"/>
    <w:rsid w:val="00C46678"/>
    <w:rsid w:val="00C46887"/>
    <w:rsid w:val="00C471B1"/>
    <w:rsid w:val="00C471C7"/>
    <w:rsid w:val="00C4751F"/>
    <w:rsid w:val="00C4788D"/>
    <w:rsid w:val="00C5002A"/>
    <w:rsid w:val="00C5006B"/>
    <w:rsid w:val="00C50412"/>
    <w:rsid w:val="00C504E0"/>
    <w:rsid w:val="00C505F9"/>
    <w:rsid w:val="00C50D41"/>
    <w:rsid w:val="00C50E8C"/>
    <w:rsid w:val="00C5299B"/>
    <w:rsid w:val="00C535D0"/>
    <w:rsid w:val="00C55954"/>
    <w:rsid w:val="00C56A62"/>
    <w:rsid w:val="00C56C34"/>
    <w:rsid w:val="00C5775A"/>
    <w:rsid w:val="00C57E1C"/>
    <w:rsid w:val="00C6090F"/>
    <w:rsid w:val="00C60EF0"/>
    <w:rsid w:val="00C61360"/>
    <w:rsid w:val="00C615F4"/>
    <w:rsid w:val="00C61D1D"/>
    <w:rsid w:val="00C628D6"/>
    <w:rsid w:val="00C63482"/>
    <w:rsid w:val="00C63BB7"/>
    <w:rsid w:val="00C64458"/>
    <w:rsid w:val="00C650E0"/>
    <w:rsid w:val="00C65698"/>
    <w:rsid w:val="00C66214"/>
    <w:rsid w:val="00C66B68"/>
    <w:rsid w:val="00C66C89"/>
    <w:rsid w:val="00C673ED"/>
    <w:rsid w:val="00C674B6"/>
    <w:rsid w:val="00C675F8"/>
    <w:rsid w:val="00C67BB3"/>
    <w:rsid w:val="00C70F86"/>
    <w:rsid w:val="00C71665"/>
    <w:rsid w:val="00C71F27"/>
    <w:rsid w:val="00C74EE5"/>
    <w:rsid w:val="00C76585"/>
    <w:rsid w:val="00C7730F"/>
    <w:rsid w:val="00C77386"/>
    <w:rsid w:val="00C7740A"/>
    <w:rsid w:val="00C77DA9"/>
    <w:rsid w:val="00C80B76"/>
    <w:rsid w:val="00C81C03"/>
    <w:rsid w:val="00C82437"/>
    <w:rsid w:val="00C82525"/>
    <w:rsid w:val="00C82615"/>
    <w:rsid w:val="00C83A8E"/>
    <w:rsid w:val="00C83AFE"/>
    <w:rsid w:val="00C83C07"/>
    <w:rsid w:val="00C84790"/>
    <w:rsid w:val="00C847BE"/>
    <w:rsid w:val="00C85403"/>
    <w:rsid w:val="00C85BB2"/>
    <w:rsid w:val="00C85F90"/>
    <w:rsid w:val="00C864D6"/>
    <w:rsid w:val="00C86B4A"/>
    <w:rsid w:val="00C9000D"/>
    <w:rsid w:val="00C9101B"/>
    <w:rsid w:val="00C92CF6"/>
    <w:rsid w:val="00C92D44"/>
    <w:rsid w:val="00C9304C"/>
    <w:rsid w:val="00C94009"/>
    <w:rsid w:val="00C94527"/>
    <w:rsid w:val="00C94777"/>
    <w:rsid w:val="00C94F50"/>
    <w:rsid w:val="00C95177"/>
    <w:rsid w:val="00C954F9"/>
    <w:rsid w:val="00C95EE7"/>
    <w:rsid w:val="00C95FCD"/>
    <w:rsid w:val="00C968D5"/>
    <w:rsid w:val="00C96BBD"/>
    <w:rsid w:val="00C96C39"/>
    <w:rsid w:val="00C96CAC"/>
    <w:rsid w:val="00C97704"/>
    <w:rsid w:val="00C9799F"/>
    <w:rsid w:val="00C97BE4"/>
    <w:rsid w:val="00C97D16"/>
    <w:rsid w:val="00C97F06"/>
    <w:rsid w:val="00C97F2B"/>
    <w:rsid w:val="00CA0415"/>
    <w:rsid w:val="00CA1413"/>
    <w:rsid w:val="00CA1677"/>
    <w:rsid w:val="00CA19FD"/>
    <w:rsid w:val="00CA2194"/>
    <w:rsid w:val="00CA21D2"/>
    <w:rsid w:val="00CA3497"/>
    <w:rsid w:val="00CA3B9A"/>
    <w:rsid w:val="00CA418D"/>
    <w:rsid w:val="00CA5990"/>
    <w:rsid w:val="00CA5C00"/>
    <w:rsid w:val="00CA5F8E"/>
    <w:rsid w:val="00CA600D"/>
    <w:rsid w:val="00CA676A"/>
    <w:rsid w:val="00CA6A7C"/>
    <w:rsid w:val="00CA6ACB"/>
    <w:rsid w:val="00CA6EB4"/>
    <w:rsid w:val="00CA7159"/>
    <w:rsid w:val="00CA74BD"/>
    <w:rsid w:val="00CB0E4B"/>
    <w:rsid w:val="00CB0E7C"/>
    <w:rsid w:val="00CB0EC8"/>
    <w:rsid w:val="00CB128D"/>
    <w:rsid w:val="00CB2601"/>
    <w:rsid w:val="00CB2A38"/>
    <w:rsid w:val="00CB2BED"/>
    <w:rsid w:val="00CB3CF6"/>
    <w:rsid w:val="00CB4820"/>
    <w:rsid w:val="00CB49FD"/>
    <w:rsid w:val="00CB4BF6"/>
    <w:rsid w:val="00CB5131"/>
    <w:rsid w:val="00CB5635"/>
    <w:rsid w:val="00CB6371"/>
    <w:rsid w:val="00CB684D"/>
    <w:rsid w:val="00CB6904"/>
    <w:rsid w:val="00CB6E39"/>
    <w:rsid w:val="00CB7135"/>
    <w:rsid w:val="00CB7842"/>
    <w:rsid w:val="00CC0ECD"/>
    <w:rsid w:val="00CC0F18"/>
    <w:rsid w:val="00CC1A7E"/>
    <w:rsid w:val="00CC2828"/>
    <w:rsid w:val="00CC2F9A"/>
    <w:rsid w:val="00CC3042"/>
    <w:rsid w:val="00CC3729"/>
    <w:rsid w:val="00CC3C87"/>
    <w:rsid w:val="00CC42FC"/>
    <w:rsid w:val="00CC54E8"/>
    <w:rsid w:val="00CC5578"/>
    <w:rsid w:val="00CC6776"/>
    <w:rsid w:val="00CC76BA"/>
    <w:rsid w:val="00CC77CF"/>
    <w:rsid w:val="00CD0587"/>
    <w:rsid w:val="00CD0A40"/>
    <w:rsid w:val="00CD0D42"/>
    <w:rsid w:val="00CD1091"/>
    <w:rsid w:val="00CD12EB"/>
    <w:rsid w:val="00CD2E7E"/>
    <w:rsid w:val="00CD314B"/>
    <w:rsid w:val="00CD346D"/>
    <w:rsid w:val="00CD3505"/>
    <w:rsid w:val="00CD4565"/>
    <w:rsid w:val="00CD4D37"/>
    <w:rsid w:val="00CD5945"/>
    <w:rsid w:val="00CD5CDF"/>
    <w:rsid w:val="00CD6705"/>
    <w:rsid w:val="00CD6E47"/>
    <w:rsid w:val="00CD722B"/>
    <w:rsid w:val="00CD77E5"/>
    <w:rsid w:val="00CD794C"/>
    <w:rsid w:val="00CD7BB7"/>
    <w:rsid w:val="00CE068D"/>
    <w:rsid w:val="00CE0AEE"/>
    <w:rsid w:val="00CE164A"/>
    <w:rsid w:val="00CE1817"/>
    <w:rsid w:val="00CE2392"/>
    <w:rsid w:val="00CE240F"/>
    <w:rsid w:val="00CE4F98"/>
    <w:rsid w:val="00CE556D"/>
    <w:rsid w:val="00CE5BF7"/>
    <w:rsid w:val="00CE617E"/>
    <w:rsid w:val="00CE6C2D"/>
    <w:rsid w:val="00CE7418"/>
    <w:rsid w:val="00CE78F7"/>
    <w:rsid w:val="00CF0061"/>
    <w:rsid w:val="00CF006D"/>
    <w:rsid w:val="00CF0241"/>
    <w:rsid w:val="00CF0264"/>
    <w:rsid w:val="00CF0593"/>
    <w:rsid w:val="00CF05F4"/>
    <w:rsid w:val="00CF076A"/>
    <w:rsid w:val="00CF0CA6"/>
    <w:rsid w:val="00CF22B2"/>
    <w:rsid w:val="00CF2503"/>
    <w:rsid w:val="00CF2D5B"/>
    <w:rsid w:val="00CF328E"/>
    <w:rsid w:val="00CF3615"/>
    <w:rsid w:val="00CF3E1A"/>
    <w:rsid w:val="00CF3EA4"/>
    <w:rsid w:val="00CF3EEA"/>
    <w:rsid w:val="00CF4C6D"/>
    <w:rsid w:val="00CF5275"/>
    <w:rsid w:val="00CF618C"/>
    <w:rsid w:val="00CF66B6"/>
    <w:rsid w:val="00CF68DC"/>
    <w:rsid w:val="00CF68EB"/>
    <w:rsid w:val="00CF6C28"/>
    <w:rsid w:val="00CF70F6"/>
    <w:rsid w:val="00CF736F"/>
    <w:rsid w:val="00D00838"/>
    <w:rsid w:val="00D00B7A"/>
    <w:rsid w:val="00D01BF3"/>
    <w:rsid w:val="00D01F9E"/>
    <w:rsid w:val="00D02757"/>
    <w:rsid w:val="00D02962"/>
    <w:rsid w:val="00D02DF5"/>
    <w:rsid w:val="00D047E1"/>
    <w:rsid w:val="00D05363"/>
    <w:rsid w:val="00D05F30"/>
    <w:rsid w:val="00D07406"/>
    <w:rsid w:val="00D0758F"/>
    <w:rsid w:val="00D07923"/>
    <w:rsid w:val="00D079DA"/>
    <w:rsid w:val="00D10025"/>
    <w:rsid w:val="00D109B6"/>
    <w:rsid w:val="00D10DA3"/>
    <w:rsid w:val="00D11137"/>
    <w:rsid w:val="00D1178B"/>
    <w:rsid w:val="00D11890"/>
    <w:rsid w:val="00D11A2F"/>
    <w:rsid w:val="00D12402"/>
    <w:rsid w:val="00D12430"/>
    <w:rsid w:val="00D12553"/>
    <w:rsid w:val="00D1282F"/>
    <w:rsid w:val="00D132F3"/>
    <w:rsid w:val="00D135AD"/>
    <w:rsid w:val="00D135DC"/>
    <w:rsid w:val="00D13660"/>
    <w:rsid w:val="00D13D4B"/>
    <w:rsid w:val="00D147CF"/>
    <w:rsid w:val="00D14D2D"/>
    <w:rsid w:val="00D1640B"/>
    <w:rsid w:val="00D1700C"/>
    <w:rsid w:val="00D170C7"/>
    <w:rsid w:val="00D174F1"/>
    <w:rsid w:val="00D17C52"/>
    <w:rsid w:val="00D20078"/>
    <w:rsid w:val="00D200AD"/>
    <w:rsid w:val="00D201AC"/>
    <w:rsid w:val="00D20E68"/>
    <w:rsid w:val="00D21170"/>
    <w:rsid w:val="00D21602"/>
    <w:rsid w:val="00D2186C"/>
    <w:rsid w:val="00D21F1D"/>
    <w:rsid w:val="00D224CF"/>
    <w:rsid w:val="00D233B0"/>
    <w:rsid w:val="00D23C11"/>
    <w:rsid w:val="00D24C44"/>
    <w:rsid w:val="00D26A13"/>
    <w:rsid w:val="00D26B8D"/>
    <w:rsid w:val="00D2771E"/>
    <w:rsid w:val="00D27885"/>
    <w:rsid w:val="00D27E98"/>
    <w:rsid w:val="00D31262"/>
    <w:rsid w:val="00D313CF"/>
    <w:rsid w:val="00D31DB7"/>
    <w:rsid w:val="00D31FD1"/>
    <w:rsid w:val="00D325A9"/>
    <w:rsid w:val="00D348D1"/>
    <w:rsid w:val="00D35AB9"/>
    <w:rsid w:val="00D35AEF"/>
    <w:rsid w:val="00D35E50"/>
    <w:rsid w:val="00D35E7A"/>
    <w:rsid w:val="00D366AA"/>
    <w:rsid w:val="00D3688F"/>
    <w:rsid w:val="00D371F6"/>
    <w:rsid w:val="00D372AF"/>
    <w:rsid w:val="00D37E55"/>
    <w:rsid w:val="00D40095"/>
    <w:rsid w:val="00D41383"/>
    <w:rsid w:val="00D41CEF"/>
    <w:rsid w:val="00D41EE8"/>
    <w:rsid w:val="00D41FDF"/>
    <w:rsid w:val="00D424DE"/>
    <w:rsid w:val="00D42777"/>
    <w:rsid w:val="00D42BFE"/>
    <w:rsid w:val="00D42CB0"/>
    <w:rsid w:val="00D4372D"/>
    <w:rsid w:val="00D437B5"/>
    <w:rsid w:val="00D43F27"/>
    <w:rsid w:val="00D44F98"/>
    <w:rsid w:val="00D4515C"/>
    <w:rsid w:val="00D46011"/>
    <w:rsid w:val="00D4641E"/>
    <w:rsid w:val="00D47FB3"/>
    <w:rsid w:val="00D506A7"/>
    <w:rsid w:val="00D521CA"/>
    <w:rsid w:val="00D524FB"/>
    <w:rsid w:val="00D52B0F"/>
    <w:rsid w:val="00D52B79"/>
    <w:rsid w:val="00D532B2"/>
    <w:rsid w:val="00D53D5A"/>
    <w:rsid w:val="00D548F6"/>
    <w:rsid w:val="00D572D4"/>
    <w:rsid w:val="00D607D1"/>
    <w:rsid w:val="00D60AA6"/>
    <w:rsid w:val="00D60E72"/>
    <w:rsid w:val="00D6132B"/>
    <w:rsid w:val="00D61B22"/>
    <w:rsid w:val="00D61E08"/>
    <w:rsid w:val="00D61E34"/>
    <w:rsid w:val="00D634A7"/>
    <w:rsid w:val="00D6428B"/>
    <w:rsid w:val="00D649BF"/>
    <w:rsid w:val="00D649F7"/>
    <w:rsid w:val="00D64B89"/>
    <w:rsid w:val="00D64EFE"/>
    <w:rsid w:val="00D65172"/>
    <w:rsid w:val="00D6549A"/>
    <w:rsid w:val="00D6563D"/>
    <w:rsid w:val="00D66AE5"/>
    <w:rsid w:val="00D66E7A"/>
    <w:rsid w:val="00D70283"/>
    <w:rsid w:val="00D7028A"/>
    <w:rsid w:val="00D703EB"/>
    <w:rsid w:val="00D7061B"/>
    <w:rsid w:val="00D70AD5"/>
    <w:rsid w:val="00D710D0"/>
    <w:rsid w:val="00D711F5"/>
    <w:rsid w:val="00D71793"/>
    <w:rsid w:val="00D72178"/>
    <w:rsid w:val="00D74043"/>
    <w:rsid w:val="00D74184"/>
    <w:rsid w:val="00D74235"/>
    <w:rsid w:val="00D74D80"/>
    <w:rsid w:val="00D74E37"/>
    <w:rsid w:val="00D75903"/>
    <w:rsid w:val="00D7655D"/>
    <w:rsid w:val="00D7674E"/>
    <w:rsid w:val="00D76E43"/>
    <w:rsid w:val="00D80373"/>
    <w:rsid w:val="00D80511"/>
    <w:rsid w:val="00D806FD"/>
    <w:rsid w:val="00D807BB"/>
    <w:rsid w:val="00D81196"/>
    <w:rsid w:val="00D814EC"/>
    <w:rsid w:val="00D819A0"/>
    <w:rsid w:val="00D82DA2"/>
    <w:rsid w:val="00D831D0"/>
    <w:rsid w:val="00D83C0C"/>
    <w:rsid w:val="00D84569"/>
    <w:rsid w:val="00D84E7A"/>
    <w:rsid w:val="00D85824"/>
    <w:rsid w:val="00D85C71"/>
    <w:rsid w:val="00D85E96"/>
    <w:rsid w:val="00D85F01"/>
    <w:rsid w:val="00D85F4C"/>
    <w:rsid w:val="00D866C4"/>
    <w:rsid w:val="00D86EBC"/>
    <w:rsid w:val="00D90212"/>
    <w:rsid w:val="00D90543"/>
    <w:rsid w:val="00D9110B"/>
    <w:rsid w:val="00D911B1"/>
    <w:rsid w:val="00D918F0"/>
    <w:rsid w:val="00D927F9"/>
    <w:rsid w:val="00D92A64"/>
    <w:rsid w:val="00D92B1D"/>
    <w:rsid w:val="00D92C85"/>
    <w:rsid w:val="00D92CC9"/>
    <w:rsid w:val="00D934BB"/>
    <w:rsid w:val="00D93974"/>
    <w:rsid w:val="00D93F92"/>
    <w:rsid w:val="00D95494"/>
    <w:rsid w:val="00D956A2"/>
    <w:rsid w:val="00D96736"/>
    <w:rsid w:val="00D96EF3"/>
    <w:rsid w:val="00D97566"/>
    <w:rsid w:val="00D97C1A"/>
    <w:rsid w:val="00D97F81"/>
    <w:rsid w:val="00DA0544"/>
    <w:rsid w:val="00DA1A8B"/>
    <w:rsid w:val="00DA1F8C"/>
    <w:rsid w:val="00DA2AD4"/>
    <w:rsid w:val="00DA2C51"/>
    <w:rsid w:val="00DA54AC"/>
    <w:rsid w:val="00DA60EA"/>
    <w:rsid w:val="00DA629E"/>
    <w:rsid w:val="00DA66C6"/>
    <w:rsid w:val="00DA6D2D"/>
    <w:rsid w:val="00DB0365"/>
    <w:rsid w:val="00DB0808"/>
    <w:rsid w:val="00DB10B8"/>
    <w:rsid w:val="00DB25EE"/>
    <w:rsid w:val="00DB2AFE"/>
    <w:rsid w:val="00DB3241"/>
    <w:rsid w:val="00DB3391"/>
    <w:rsid w:val="00DB3444"/>
    <w:rsid w:val="00DB3A0A"/>
    <w:rsid w:val="00DB527C"/>
    <w:rsid w:val="00DB53EF"/>
    <w:rsid w:val="00DB672F"/>
    <w:rsid w:val="00DB6880"/>
    <w:rsid w:val="00DB7C7B"/>
    <w:rsid w:val="00DC0C61"/>
    <w:rsid w:val="00DC1247"/>
    <w:rsid w:val="00DC131A"/>
    <w:rsid w:val="00DC16DF"/>
    <w:rsid w:val="00DC1D34"/>
    <w:rsid w:val="00DC1F49"/>
    <w:rsid w:val="00DC1F6B"/>
    <w:rsid w:val="00DC2E06"/>
    <w:rsid w:val="00DC2E48"/>
    <w:rsid w:val="00DC3096"/>
    <w:rsid w:val="00DC321E"/>
    <w:rsid w:val="00DC3922"/>
    <w:rsid w:val="00DC489B"/>
    <w:rsid w:val="00DC56B7"/>
    <w:rsid w:val="00DC57E1"/>
    <w:rsid w:val="00DC63D7"/>
    <w:rsid w:val="00DC6CEB"/>
    <w:rsid w:val="00DC6FB3"/>
    <w:rsid w:val="00DC70D7"/>
    <w:rsid w:val="00DC71B7"/>
    <w:rsid w:val="00DC73B8"/>
    <w:rsid w:val="00DC7602"/>
    <w:rsid w:val="00DC77A6"/>
    <w:rsid w:val="00DC7B14"/>
    <w:rsid w:val="00DC7DD6"/>
    <w:rsid w:val="00DC7F4B"/>
    <w:rsid w:val="00DD0E84"/>
    <w:rsid w:val="00DD0EDA"/>
    <w:rsid w:val="00DD2199"/>
    <w:rsid w:val="00DD23D4"/>
    <w:rsid w:val="00DD25A1"/>
    <w:rsid w:val="00DD2CC1"/>
    <w:rsid w:val="00DD2F04"/>
    <w:rsid w:val="00DD311F"/>
    <w:rsid w:val="00DD3346"/>
    <w:rsid w:val="00DD3B01"/>
    <w:rsid w:val="00DD3B78"/>
    <w:rsid w:val="00DD3F8C"/>
    <w:rsid w:val="00DD4459"/>
    <w:rsid w:val="00DD44E2"/>
    <w:rsid w:val="00DD4887"/>
    <w:rsid w:val="00DD49CE"/>
    <w:rsid w:val="00DD4C0E"/>
    <w:rsid w:val="00DD4CEE"/>
    <w:rsid w:val="00DD4D04"/>
    <w:rsid w:val="00DD4DFD"/>
    <w:rsid w:val="00DD583D"/>
    <w:rsid w:val="00DD617F"/>
    <w:rsid w:val="00DD63BE"/>
    <w:rsid w:val="00DD694D"/>
    <w:rsid w:val="00DD6E69"/>
    <w:rsid w:val="00DD77B4"/>
    <w:rsid w:val="00DD77BB"/>
    <w:rsid w:val="00DE003D"/>
    <w:rsid w:val="00DE08EA"/>
    <w:rsid w:val="00DE11C1"/>
    <w:rsid w:val="00DE2492"/>
    <w:rsid w:val="00DE26C3"/>
    <w:rsid w:val="00DE29E2"/>
    <w:rsid w:val="00DE2EBF"/>
    <w:rsid w:val="00DE3302"/>
    <w:rsid w:val="00DE3504"/>
    <w:rsid w:val="00DE360A"/>
    <w:rsid w:val="00DE3763"/>
    <w:rsid w:val="00DE37CD"/>
    <w:rsid w:val="00DE5132"/>
    <w:rsid w:val="00DE5451"/>
    <w:rsid w:val="00DE71FA"/>
    <w:rsid w:val="00DE7E8E"/>
    <w:rsid w:val="00DE7FDE"/>
    <w:rsid w:val="00DF03A4"/>
    <w:rsid w:val="00DF07D4"/>
    <w:rsid w:val="00DF1029"/>
    <w:rsid w:val="00DF12C4"/>
    <w:rsid w:val="00DF1C16"/>
    <w:rsid w:val="00DF1C66"/>
    <w:rsid w:val="00DF1FA1"/>
    <w:rsid w:val="00DF1FC8"/>
    <w:rsid w:val="00DF223E"/>
    <w:rsid w:val="00DF252C"/>
    <w:rsid w:val="00DF2AA2"/>
    <w:rsid w:val="00DF2AB9"/>
    <w:rsid w:val="00DF2B54"/>
    <w:rsid w:val="00DF3349"/>
    <w:rsid w:val="00DF3A21"/>
    <w:rsid w:val="00DF3E3B"/>
    <w:rsid w:val="00DF3E8C"/>
    <w:rsid w:val="00DF427B"/>
    <w:rsid w:val="00DF42B0"/>
    <w:rsid w:val="00DF43B8"/>
    <w:rsid w:val="00DF53BE"/>
    <w:rsid w:val="00DF6076"/>
    <w:rsid w:val="00DF73B3"/>
    <w:rsid w:val="00DF7727"/>
    <w:rsid w:val="00E00A33"/>
    <w:rsid w:val="00E00B2A"/>
    <w:rsid w:val="00E00D7C"/>
    <w:rsid w:val="00E00E0D"/>
    <w:rsid w:val="00E010CF"/>
    <w:rsid w:val="00E012B3"/>
    <w:rsid w:val="00E013E5"/>
    <w:rsid w:val="00E02559"/>
    <w:rsid w:val="00E02636"/>
    <w:rsid w:val="00E026A5"/>
    <w:rsid w:val="00E02993"/>
    <w:rsid w:val="00E03F6B"/>
    <w:rsid w:val="00E051ED"/>
    <w:rsid w:val="00E0559F"/>
    <w:rsid w:val="00E06588"/>
    <w:rsid w:val="00E06715"/>
    <w:rsid w:val="00E068BE"/>
    <w:rsid w:val="00E069C9"/>
    <w:rsid w:val="00E06F0F"/>
    <w:rsid w:val="00E07436"/>
    <w:rsid w:val="00E102B5"/>
    <w:rsid w:val="00E105EE"/>
    <w:rsid w:val="00E10CAC"/>
    <w:rsid w:val="00E11DB1"/>
    <w:rsid w:val="00E11FB5"/>
    <w:rsid w:val="00E12B7D"/>
    <w:rsid w:val="00E137C1"/>
    <w:rsid w:val="00E144BE"/>
    <w:rsid w:val="00E15470"/>
    <w:rsid w:val="00E15604"/>
    <w:rsid w:val="00E16A3E"/>
    <w:rsid w:val="00E17089"/>
    <w:rsid w:val="00E17A66"/>
    <w:rsid w:val="00E2102F"/>
    <w:rsid w:val="00E21ECB"/>
    <w:rsid w:val="00E21F9B"/>
    <w:rsid w:val="00E22118"/>
    <w:rsid w:val="00E224E1"/>
    <w:rsid w:val="00E22921"/>
    <w:rsid w:val="00E23290"/>
    <w:rsid w:val="00E23672"/>
    <w:rsid w:val="00E24C4B"/>
    <w:rsid w:val="00E24CDE"/>
    <w:rsid w:val="00E252BE"/>
    <w:rsid w:val="00E252F7"/>
    <w:rsid w:val="00E25327"/>
    <w:rsid w:val="00E260DF"/>
    <w:rsid w:val="00E26282"/>
    <w:rsid w:val="00E26494"/>
    <w:rsid w:val="00E27173"/>
    <w:rsid w:val="00E2720C"/>
    <w:rsid w:val="00E30A29"/>
    <w:rsid w:val="00E31083"/>
    <w:rsid w:val="00E3207A"/>
    <w:rsid w:val="00E3239F"/>
    <w:rsid w:val="00E3268B"/>
    <w:rsid w:val="00E32B0E"/>
    <w:rsid w:val="00E32EF3"/>
    <w:rsid w:val="00E330B4"/>
    <w:rsid w:val="00E330C5"/>
    <w:rsid w:val="00E33104"/>
    <w:rsid w:val="00E33B0C"/>
    <w:rsid w:val="00E3413E"/>
    <w:rsid w:val="00E3421B"/>
    <w:rsid w:val="00E36039"/>
    <w:rsid w:val="00E364A2"/>
    <w:rsid w:val="00E367C0"/>
    <w:rsid w:val="00E3689B"/>
    <w:rsid w:val="00E369D3"/>
    <w:rsid w:val="00E36E22"/>
    <w:rsid w:val="00E3754E"/>
    <w:rsid w:val="00E37C2B"/>
    <w:rsid w:val="00E37D27"/>
    <w:rsid w:val="00E40C79"/>
    <w:rsid w:val="00E412BE"/>
    <w:rsid w:val="00E41839"/>
    <w:rsid w:val="00E418C9"/>
    <w:rsid w:val="00E434AF"/>
    <w:rsid w:val="00E43B79"/>
    <w:rsid w:val="00E43C5E"/>
    <w:rsid w:val="00E441F9"/>
    <w:rsid w:val="00E44388"/>
    <w:rsid w:val="00E45216"/>
    <w:rsid w:val="00E452C6"/>
    <w:rsid w:val="00E45679"/>
    <w:rsid w:val="00E466AD"/>
    <w:rsid w:val="00E469B8"/>
    <w:rsid w:val="00E4777C"/>
    <w:rsid w:val="00E47996"/>
    <w:rsid w:val="00E47FF3"/>
    <w:rsid w:val="00E518B8"/>
    <w:rsid w:val="00E51CB1"/>
    <w:rsid w:val="00E522F5"/>
    <w:rsid w:val="00E535A2"/>
    <w:rsid w:val="00E53D5C"/>
    <w:rsid w:val="00E53E76"/>
    <w:rsid w:val="00E53F91"/>
    <w:rsid w:val="00E54371"/>
    <w:rsid w:val="00E549F2"/>
    <w:rsid w:val="00E54A9F"/>
    <w:rsid w:val="00E55393"/>
    <w:rsid w:val="00E5546C"/>
    <w:rsid w:val="00E55BF4"/>
    <w:rsid w:val="00E561AA"/>
    <w:rsid w:val="00E56482"/>
    <w:rsid w:val="00E56648"/>
    <w:rsid w:val="00E5727B"/>
    <w:rsid w:val="00E573FE"/>
    <w:rsid w:val="00E5780B"/>
    <w:rsid w:val="00E57D15"/>
    <w:rsid w:val="00E57D6E"/>
    <w:rsid w:val="00E60970"/>
    <w:rsid w:val="00E60C94"/>
    <w:rsid w:val="00E61424"/>
    <w:rsid w:val="00E61972"/>
    <w:rsid w:val="00E6244A"/>
    <w:rsid w:val="00E62DC4"/>
    <w:rsid w:val="00E62E4C"/>
    <w:rsid w:val="00E632F8"/>
    <w:rsid w:val="00E63BA2"/>
    <w:rsid w:val="00E63DFA"/>
    <w:rsid w:val="00E63EF4"/>
    <w:rsid w:val="00E647EA"/>
    <w:rsid w:val="00E64B7D"/>
    <w:rsid w:val="00E65565"/>
    <w:rsid w:val="00E657DC"/>
    <w:rsid w:val="00E658AE"/>
    <w:rsid w:val="00E65933"/>
    <w:rsid w:val="00E65F5E"/>
    <w:rsid w:val="00E66771"/>
    <w:rsid w:val="00E667F5"/>
    <w:rsid w:val="00E66E98"/>
    <w:rsid w:val="00E67E17"/>
    <w:rsid w:val="00E7007A"/>
    <w:rsid w:val="00E703AB"/>
    <w:rsid w:val="00E70CB4"/>
    <w:rsid w:val="00E71C59"/>
    <w:rsid w:val="00E727E1"/>
    <w:rsid w:val="00E72AF6"/>
    <w:rsid w:val="00E72D52"/>
    <w:rsid w:val="00E72E09"/>
    <w:rsid w:val="00E72E53"/>
    <w:rsid w:val="00E73E8D"/>
    <w:rsid w:val="00E73F94"/>
    <w:rsid w:val="00E74957"/>
    <w:rsid w:val="00E74A0D"/>
    <w:rsid w:val="00E74E72"/>
    <w:rsid w:val="00E7507F"/>
    <w:rsid w:val="00E7576A"/>
    <w:rsid w:val="00E75A5A"/>
    <w:rsid w:val="00E75E51"/>
    <w:rsid w:val="00E76D81"/>
    <w:rsid w:val="00E76EF4"/>
    <w:rsid w:val="00E777AC"/>
    <w:rsid w:val="00E778EF"/>
    <w:rsid w:val="00E77BA9"/>
    <w:rsid w:val="00E77F48"/>
    <w:rsid w:val="00E80168"/>
    <w:rsid w:val="00E80FEF"/>
    <w:rsid w:val="00E8127F"/>
    <w:rsid w:val="00E81ABB"/>
    <w:rsid w:val="00E82231"/>
    <w:rsid w:val="00E82B74"/>
    <w:rsid w:val="00E832BE"/>
    <w:rsid w:val="00E83843"/>
    <w:rsid w:val="00E83A4A"/>
    <w:rsid w:val="00E83A5E"/>
    <w:rsid w:val="00E83E08"/>
    <w:rsid w:val="00E841D0"/>
    <w:rsid w:val="00E84866"/>
    <w:rsid w:val="00E85A8B"/>
    <w:rsid w:val="00E86034"/>
    <w:rsid w:val="00E86050"/>
    <w:rsid w:val="00E8625F"/>
    <w:rsid w:val="00E8794E"/>
    <w:rsid w:val="00E90AD7"/>
    <w:rsid w:val="00E915E8"/>
    <w:rsid w:val="00E91631"/>
    <w:rsid w:val="00E91A30"/>
    <w:rsid w:val="00E91F90"/>
    <w:rsid w:val="00E924FC"/>
    <w:rsid w:val="00E93615"/>
    <w:rsid w:val="00E9393E"/>
    <w:rsid w:val="00E94125"/>
    <w:rsid w:val="00E9433C"/>
    <w:rsid w:val="00E94525"/>
    <w:rsid w:val="00E94772"/>
    <w:rsid w:val="00E947DF"/>
    <w:rsid w:val="00E9514A"/>
    <w:rsid w:val="00E956AB"/>
    <w:rsid w:val="00E95F77"/>
    <w:rsid w:val="00E96564"/>
    <w:rsid w:val="00EA04D7"/>
    <w:rsid w:val="00EA07D6"/>
    <w:rsid w:val="00EA15AA"/>
    <w:rsid w:val="00EA1917"/>
    <w:rsid w:val="00EA19AF"/>
    <w:rsid w:val="00EA2AD5"/>
    <w:rsid w:val="00EA2D7B"/>
    <w:rsid w:val="00EA33C9"/>
    <w:rsid w:val="00EA37CF"/>
    <w:rsid w:val="00EA387E"/>
    <w:rsid w:val="00EA5445"/>
    <w:rsid w:val="00EA59D1"/>
    <w:rsid w:val="00EA5D36"/>
    <w:rsid w:val="00EA5FDF"/>
    <w:rsid w:val="00EA6A38"/>
    <w:rsid w:val="00EA6D85"/>
    <w:rsid w:val="00EA7813"/>
    <w:rsid w:val="00EB0441"/>
    <w:rsid w:val="00EB0524"/>
    <w:rsid w:val="00EB36DA"/>
    <w:rsid w:val="00EB499E"/>
    <w:rsid w:val="00EB59FA"/>
    <w:rsid w:val="00EB5ACA"/>
    <w:rsid w:val="00EB5C22"/>
    <w:rsid w:val="00EB65FC"/>
    <w:rsid w:val="00EB6C4F"/>
    <w:rsid w:val="00EC154D"/>
    <w:rsid w:val="00EC250F"/>
    <w:rsid w:val="00EC25FD"/>
    <w:rsid w:val="00EC2877"/>
    <w:rsid w:val="00EC36F8"/>
    <w:rsid w:val="00EC3CDA"/>
    <w:rsid w:val="00EC3D62"/>
    <w:rsid w:val="00EC42C1"/>
    <w:rsid w:val="00EC4CB2"/>
    <w:rsid w:val="00EC5170"/>
    <w:rsid w:val="00EC6552"/>
    <w:rsid w:val="00EC6CAA"/>
    <w:rsid w:val="00EC6E48"/>
    <w:rsid w:val="00EC703A"/>
    <w:rsid w:val="00EC7448"/>
    <w:rsid w:val="00EC7741"/>
    <w:rsid w:val="00EC7867"/>
    <w:rsid w:val="00ED0801"/>
    <w:rsid w:val="00ED1459"/>
    <w:rsid w:val="00ED1575"/>
    <w:rsid w:val="00ED1682"/>
    <w:rsid w:val="00ED1AB4"/>
    <w:rsid w:val="00ED1C0B"/>
    <w:rsid w:val="00ED22AC"/>
    <w:rsid w:val="00ED3262"/>
    <w:rsid w:val="00ED358A"/>
    <w:rsid w:val="00ED4400"/>
    <w:rsid w:val="00ED4F27"/>
    <w:rsid w:val="00ED52D4"/>
    <w:rsid w:val="00ED5FF8"/>
    <w:rsid w:val="00ED643C"/>
    <w:rsid w:val="00ED6952"/>
    <w:rsid w:val="00ED6AB1"/>
    <w:rsid w:val="00ED705F"/>
    <w:rsid w:val="00ED710A"/>
    <w:rsid w:val="00ED7E16"/>
    <w:rsid w:val="00EE0534"/>
    <w:rsid w:val="00EE0ACD"/>
    <w:rsid w:val="00EE15AA"/>
    <w:rsid w:val="00EE2B8F"/>
    <w:rsid w:val="00EE2C02"/>
    <w:rsid w:val="00EE39A0"/>
    <w:rsid w:val="00EE3A96"/>
    <w:rsid w:val="00EE3B65"/>
    <w:rsid w:val="00EE3C5E"/>
    <w:rsid w:val="00EE3F1C"/>
    <w:rsid w:val="00EE6578"/>
    <w:rsid w:val="00EE7603"/>
    <w:rsid w:val="00EE7B5C"/>
    <w:rsid w:val="00EF05CC"/>
    <w:rsid w:val="00EF07A0"/>
    <w:rsid w:val="00EF0C1F"/>
    <w:rsid w:val="00EF0E33"/>
    <w:rsid w:val="00EF1DF6"/>
    <w:rsid w:val="00EF27F8"/>
    <w:rsid w:val="00EF2A3A"/>
    <w:rsid w:val="00EF2EA8"/>
    <w:rsid w:val="00EF3904"/>
    <w:rsid w:val="00EF39F9"/>
    <w:rsid w:val="00EF43CB"/>
    <w:rsid w:val="00EF4896"/>
    <w:rsid w:val="00EF4E9E"/>
    <w:rsid w:val="00EF5F0A"/>
    <w:rsid w:val="00EF6336"/>
    <w:rsid w:val="00EF63F9"/>
    <w:rsid w:val="00EF6B30"/>
    <w:rsid w:val="00F009C0"/>
    <w:rsid w:val="00F00AA5"/>
    <w:rsid w:val="00F00F4C"/>
    <w:rsid w:val="00F00F99"/>
    <w:rsid w:val="00F016C0"/>
    <w:rsid w:val="00F01B4B"/>
    <w:rsid w:val="00F02B5A"/>
    <w:rsid w:val="00F02E1C"/>
    <w:rsid w:val="00F03198"/>
    <w:rsid w:val="00F0512E"/>
    <w:rsid w:val="00F0521E"/>
    <w:rsid w:val="00F05C09"/>
    <w:rsid w:val="00F05CED"/>
    <w:rsid w:val="00F07081"/>
    <w:rsid w:val="00F079F7"/>
    <w:rsid w:val="00F07F3D"/>
    <w:rsid w:val="00F10107"/>
    <w:rsid w:val="00F102A6"/>
    <w:rsid w:val="00F11346"/>
    <w:rsid w:val="00F11799"/>
    <w:rsid w:val="00F11AE4"/>
    <w:rsid w:val="00F11CFD"/>
    <w:rsid w:val="00F1247F"/>
    <w:rsid w:val="00F12988"/>
    <w:rsid w:val="00F12EF6"/>
    <w:rsid w:val="00F12FF0"/>
    <w:rsid w:val="00F13C72"/>
    <w:rsid w:val="00F14AE9"/>
    <w:rsid w:val="00F154CC"/>
    <w:rsid w:val="00F16AB2"/>
    <w:rsid w:val="00F1717D"/>
    <w:rsid w:val="00F172A7"/>
    <w:rsid w:val="00F174CB"/>
    <w:rsid w:val="00F178B2"/>
    <w:rsid w:val="00F2062E"/>
    <w:rsid w:val="00F20E29"/>
    <w:rsid w:val="00F21CB0"/>
    <w:rsid w:val="00F21DE7"/>
    <w:rsid w:val="00F220F5"/>
    <w:rsid w:val="00F226E0"/>
    <w:rsid w:val="00F22C1A"/>
    <w:rsid w:val="00F235F2"/>
    <w:rsid w:val="00F2396A"/>
    <w:rsid w:val="00F23EC9"/>
    <w:rsid w:val="00F24376"/>
    <w:rsid w:val="00F24838"/>
    <w:rsid w:val="00F24FE3"/>
    <w:rsid w:val="00F2634B"/>
    <w:rsid w:val="00F26BF0"/>
    <w:rsid w:val="00F26DE3"/>
    <w:rsid w:val="00F27B2F"/>
    <w:rsid w:val="00F303CD"/>
    <w:rsid w:val="00F304AD"/>
    <w:rsid w:val="00F30681"/>
    <w:rsid w:val="00F30B7F"/>
    <w:rsid w:val="00F30C8E"/>
    <w:rsid w:val="00F3177A"/>
    <w:rsid w:val="00F31C3B"/>
    <w:rsid w:val="00F3299F"/>
    <w:rsid w:val="00F33A94"/>
    <w:rsid w:val="00F33F16"/>
    <w:rsid w:val="00F3476A"/>
    <w:rsid w:val="00F34CA2"/>
    <w:rsid w:val="00F35033"/>
    <w:rsid w:val="00F353D0"/>
    <w:rsid w:val="00F35AB7"/>
    <w:rsid w:val="00F35B5F"/>
    <w:rsid w:val="00F36414"/>
    <w:rsid w:val="00F3669A"/>
    <w:rsid w:val="00F36814"/>
    <w:rsid w:val="00F36FD0"/>
    <w:rsid w:val="00F378A4"/>
    <w:rsid w:val="00F40532"/>
    <w:rsid w:val="00F40DA9"/>
    <w:rsid w:val="00F4101D"/>
    <w:rsid w:val="00F415D2"/>
    <w:rsid w:val="00F41913"/>
    <w:rsid w:val="00F41AD1"/>
    <w:rsid w:val="00F41BE9"/>
    <w:rsid w:val="00F41C43"/>
    <w:rsid w:val="00F41D6D"/>
    <w:rsid w:val="00F41FF5"/>
    <w:rsid w:val="00F43275"/>
    <w:rsid w:val="00F435B9"/>
    <w:rsid w:val="00F44159"/>
    <w:rsid w:val="00F4441C"/>
    <w:rsid w:val="00F444D3"/>
    <w:rsid w:val="00F44594"/>
    <w:rsid w:val="00F447E5"/>
    <w:rsid w:val="00F4524C"/>
    <w:rsid w:val="00F4536D"/>
    <w:rsid w:val="00F45AF1"/>
    <w:rsid w:val="00F45FD4"/>
    <w:rsid w:val="00F46BA9"/>
    <w:rsid w:val="00F46E93"/>
    <w:rsid w:val="00F470FF"/>
    <w:rsid w:val="00F5049B"/>
    <w:rsid w:val="00F50B73"/>
    <w:rsid w:val="00F50C28"/>
    <w:rsid w:val="00F51328"/>
    <w:rsid w:val="00F51408"/>
    <w:rsid w:val="00F51A49"/>
    <w:rsid w:val="00F521FC"/>
    <w:rsid w:val="00F53707"/>
    <w:rsid w:val="00F53A81"/>
    <w:rsid w:val="00F53F76"/>
    <w:rsid w:val="00F54211"/>
    <w:rsid w:val="00F54418"/>
    <w:rsid w:val="00F5449E"/>
    <w:rsid w:val="00F5491F"/>
    <w:rsid w:val="00F55032"/>
    <w:rsid w:val="00F550B8"/>
    <w:rsid w:val="00F55F18"/>
    <w:rsid w:val="00F568A7"/>
    <w:rsid w:val="00F56BEE"/>
    <w:rsid w:val="00F5705E"/>
    <w:rsid w:val="00F60082"/>
    <w:rsid w:val="00F6026B"/>
    <w:rsid w:val="00F60B05"/>
    <w:rsid w:val="00F60C47"/>
    <w:rsid w:val="00F61D87"/>
    <w:rsid w:val="00F61ED1"/>
    <w:rsid w:val="00F61FAB"/>
    <w:rsid w:val="00F62209"/>
    <w:rsid w:val="00F623FE"/>
    <w:rsid w:val="00F62F96"/>
    <w:rsid w:val="00F6317A"/>
    <w:rsid w:val="00F6367E"/>
    <w:rsid w:val="00F64102"/>
    <w:rsid w:val="00F64373"/>
    <w:rsid w:val="00F6509C"/>
    <w:rsid w:val="00F65713"/>
    <w:rsid w:val="00F65CD0"/>
    <w:rsid w:val="00F665E0"/>
    <w:rsid w:val="00F66863"/>
    <w:rsid w:val="00F66B50"/>
    <w:rsid w:val="00F671B4"/>
    <w:rsid w:val="00F67B90"/>
    <w:rsid w:val="00F702FE"/>
    <w:rsid w:val="00F70557"/>
    <w:rsid w:val="00F70BBB"/>
    <w:rsid w:val="00F7132B"/>
    <w:rsid w:val="00F7250A"/>
    <w:rsid w:val="00F726C4"/>
    <w:rsid w:val="00F72ECB"/>
    <w:rsid w:val="00F73558"/>
    <w:rsid w:val="00F73974"/>
    <w:rsid w:val="00F74F83"/>
    <w:rsid w:val="00F766A3"/>
    <w:rsid w:val="00F76CC9"/>
    <w:rsid w:val="00F77CD1"/>
    <w:rsid w:val="00F77EC4"/>
    <w:rsid w:val="00F80FE2"/>
    <w:rsid w:val="00F8128E"/>
    <w:rsid w:val="00F81752"/>
    <w:rsid w:val="00F82232"/>
    <w:rsid w:val="00F82A8E"/>
    <w:rsid w:val="00F82E5C"/>
    <w:rsid w:val="00F83169"/>
    <w:rsid w:val="00F833A9"/>
    <w:rsid w:val="00F83529"/>
    <w:rsid w:val="00F83658"/>
    <w:rsid w:val="00F84742"/>
    <w:rsid w:val="00F84817"/>
    <w:rsid w:val="00F860C2"/>
    <w:rsid w:val="00F86D67"/>
    <w:rsid w:val="00F86FAC"/>
    <w:rsid w:val="00F876AD"/>
    <w:rsid w:val="00F879C3"/>
    <w:rsid w:val="00F900AE"/>
    <w:rsid w:val="00F901EC"/>
    <w:rsid w:val="00F908BB"/>
    <w:rsid w:val="00F90EA2"/>
    <w:rsid w:val="00F91894"/>
    <w:rsid w:val="00F91B61"/>
    <w:rsid w:val="00F92237"/>
    <w:rsid w:val="00F92C7D"/>
    <w:rsid w:val="00F92CD8"/>
    <w:rsid w:val="00F92D6C"/>
    <w:rsid w:val="00F93474"/>
    <w:rsid w:val="00F934F4"/>
    <w:rsid w:val="00F93643"/>
    <w:rsid w:val="00F93707"/>
    <w:rsid w:val="00F9444F"/>
    <w:rsid w:val="00F94F33"/>
    <w:rsid w:val="00F95279"/>
    <w:rsid w:val="00F953E6"/>
    <w:rsid w:val="00F9578F"/>
    <w:rsid w:val="00F96327"/>
    <w:rsid w:val="00F965DC"/>
    <w:rsid w:val="00F969E5"/>
    <w:rsid w:val="00F96A48"/>
    <w:rsid w:val="00F97215"/>
    <w:rsid w:val="00FA0836"/>
    <w:rsid w:val="00FA35CB"/>
    <w:rsid w:val="00FA40E9"/>
    <w:rsid w:val="00FA43C1"/>
    <w:rsid w:val="00FA50AA"/>
    <w:rsid w:val="00FA644A"/>
    <w:rsid w:val="00FA654F"/>
    <w:rsid w:val="00FA6FEE"/>
    <w:rsid w:val="00FA736A"/>
    <w:rsid w:val="00FA79B1"/>
    <w:rsid w:val="00FA7CDB"/>
    <w:rsid w:val="00FB005A"/>
    <w:rsid w:val="00FB02B7"/>
    <w:rsid w:val="00FB036A"/>
    <w:rsid w:val="00FB0729"/>
    <w:rsid w:val="00FB136A"/>
    <w:rsid w:val="00FB13BA"/>
    <w:rsid w:val="00FB16C4"/>
    <w:rsid w:val="00FB2124"/>
    <w:rsid w:val="00FB2169"/>
    <w:rsid w:val="00FB2570"/>
    <w:rsid w:val="00FB259A"/>
    <w:rsid w:val="00FB28F4"/>
    <w:rsid w:val="00FB29A9"/>
    <w:rsid w:val="00FB2C3D"/>
    <w:rsid w:val="00FB2C68"/>
    <w:rsid w:val="00FB2CAE"/>
    <w:rsid w:val="00FB3142"/>
    <w:rsid w:val="00FB333B"/>
    <w:rsid w:val="00FB51A4"/>
    <w:rsid w:val="00FB5243"/>
    <w:rsid w:val="00FB5F2E"/>
    <w:rsid w:val="00FB64D0"/>
    <w:rsid w:val="00FB69F5"/>
    <w:rsid w:val="00FB70AC"/>
    <w:rsid w:val="00FB7784"/>
    <w:rsid w:val="00FB7A81"/>
    <w:rsid w:val="00FB7D7E"/>
    <w:rsid w:val="00FB7F91"/>
    <w:rsid w:val="00FC01AF"/>
    <w:rsid w:val="00FC20C5"/>
    <w:rsid w:val="00FC23D5"/>
    <w:rsid w:val="00FC2BA3"/>
    <w:rsid w:val="00FC2F4A"/>
    <w:rsid w:val="00FC3587"/>
    <w:rsid w:val="00FC3CC8"/>
    <w:rsid w:val="00FC40D4"/>
    <w:rsid w:val="00FC5211"/>
    <w:rsid w:val="00FC53C5"/>
    <w:rsid w:val="00FC56FA"/>
    <w:rsid w:val="00FC571B"/>
    <w:rsid w:val="00FC5736"/>
    <w:rsid w:val="00FC5FEB"/>
    <w:rsid w:val="00FC621B"/>
    <w:rsid w:val="00FC637B"/>
    <w:rsid w:val="00FC68EB"/>
    <w:rsid w:val="00FC6CB5"/>
    <w:rsid w:val="00FC7080"/>
    <w:rsid w:val="00FC78D9"/>
    <w:rsid w:val="00FC78F6"/>
    <w:rsid w:val="00FD06B5"/>
    <w:rsid w:val="00FD1168"/>
    <w:rsid w:val="00FD262C"/>
    <w:rsid w:val="00FD31B1"/>
    <w:rsid w:val="00FD3867"/>
    <w:rsid w:val="00FD3D64"/>
    <w:rsid w:val="00FD3ECF"/>
    <w:rsid w:val="00FD4691"/>
    <w:rsid w:val="00FD4A20"/>
    <w:rsid w:val="00FD4A8D"/>
    <w:rsid w:val="00FD57F1"/>
    <w:rsid w:val="00FD6039"/>
    <w:rsid w:val="00FD61AB"/>
    <w:rsid w:val="00FD6A37"/>
    <w:rsid w:val="00FD6F06"/>
    <w:rsid w:val="00FD71C5"/>
    <w:rsid w:val="00FD78C9"/>
    <w:rsid w:val="00FE058A"/>
    <w:rsid w:val="00FE1283"/>
    <w:rsid w:val="00FE1A4C"/>
    <w:rsid w:val="00FE1E4A"/>
    <w:rsid w:val="00FE3334"/>
    <w:rsid w:val="00FE5B62"/>
    <w:rsid w:val="00FE6746"/>
    <w:rsid w:val="00FE6AD0"/>
    <w:rsid w:val="00FE7B3E"/>
    <w:rsid w:val="00FE7DFB"/>
    <w:rsid w:val="00FF07DC"/>
    <w:rsid w:val="00FF2096"/>
    <w:rsid w:val="00FF2CBF"/>
    <w:rsid w:val="00FF3492"/>
    <w:rsid w:val="00FF3914"/>
    <w:rsid w:val="00FF3FE9"/>
    <w:rsid w:val="00FF40DE"/>
    <w:rsid w:val="00FF49EA"/>
    <w:rsid w:val="00FF4C54"/>
    <w:rsid w:val="00FF5088"/>
    <w:rsid w:val="00FF56EB"/>
    <w:rsid w:val="00FF75BE"/>
    <w:rsid w:val="00FF7694"/>
    <w:rsid w:val="020F4C89"/>
    <w:rsid w:val="07B11546"/>
    <w:rsid w:val="08DD49C4"/>
    <w:rsid w:val="15E014D2"/>
    <w:rsid w:val="16676DCE"/>
    <w:rsid w:val="1CA95C66"/>
    <w:rsid w:val="21226961"/>
    <w:rsid w:val="213E2F16"/>
    <w:rsid w:val="27BD535B"/>
    <w:rsid w:val="27DC0949"/>
    <w:rsid w:val="2C507BA6"/>
    <w:rsid w:val="2F4B2421"/>
    <w:rsid w:val="387465D0"/>
    <w:rsid w:val="3C491711"/>
    <w:rsid w:val="3DB3664C"/>
    <w:rsid w:val="3F406094"/>
    <w:rsid w:val="43BD06A4"/>
    <w:rsid w:val="47855250"/>
    <w:rsid w:val="489856AB"/>
    <w:rsid w:val="493A114F"/>
    <w:rsid w:val="49905AB8"/>
    <w:rsid w:val="4A47572F"/>
    <w:rsid w:val="4F165421"/>
    <w:rsid w:val="51120E48"/>
    <w:rsid w:val="512B344F"/>
    <w:rsid w:val="52493708"/>
    <w:rsid w:val="52C91FF6"/>
    <w:rsid w:val="54B14BA5"/>
    <w:rsid w:val="5B797A65"/>
    <w:rsid w:val="5CCA55A0"/>
    <w:rsid w:val="6CD72AE7"/>
    <w:rsid w:val="6FA60675"/>
    <w:rsid w:val="75AE4C42"/>
    <w:rsid w:val="78B325C0"/>
    <w:rsid w:val="7A055842"/>
    <w:rsid w:val="7D726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color w:val="000000"/>
      <w:kern w:val="2"/>
      <w:sz w:val="28"/>
      <w:szCs w:val="21"/>
      <w:lang w:val="en-US" w:eastAsia="zh-CN" w:bidi="ar-SA"/>
    </w:rPr>
  </w:style>
  <w:style w:type="paragraph" w:styleId="2">
    <w:name w:val="heading 1"/>
    <w:basedOn w:val="1"/>
    <w:next w:val="1"/>
    <w:link w:val="30"/>
    <w:qFormat/>
    <w:uiPriority w:val="9"/>
    <w:pPr>
      <w:keepNext/>
      <w:keepLines/>
      <w:numPr>
        <w:ilvl w:val="0"/>
        <w:numId w:val="1"/>
      </w:numPr>
      <w:spacing w:before="300" w:after="300"/>
      <w:ind w:left="0" w:firstLine="0" w:firstLineChars="0"/>
      <w:jc w:val="center"/>
      <w:outlineLvl w:val="0"/>
    </w:pPr>
    <w:rPr>
      <w:rFonts w:eastAsia="黑体"/>
      <w:b/>
      <w:bCs/>
      <w:kern w:val="44"/>
      <w:sz w:val="36"/>
      <w:szCs w:val="44"/>
    </w:rPr>
  </w:style>
  <w:style w:type="paragraph" w:styleId="3">
    <w:name w:val="heading 2"/>
    <w:basedOn w:val="1"/>
    <w:next w:val="1"/>
    <w:link w:val="31"/>
    <w:unhideWhenUsed/>
    <w:qFormat/>
    <w:uiPriority w:val="9"/>
    <w:pPr>
      <w:keepNext/>
      <w:keepLines/>
      <w:spacing w:before="200" w:after="200"/>
      <w:ind w:firstLine="562"/>
      <w:outlineLvl w:val="1"/>
    </w:pPr>
    <w:rPr>
      <w:rFonts w:eastAsia="黑体" w:cstheme="majorBidi"/>
      <w:b/>
      <w:bCs/>
      <w:sz w:val="32"/>
      <w:szCs w:val="32"/>
    </w:rPr>
  </w:style>
  <w:style w:type="paragraph" w:styleId="4">
    <w:name w:val="heading 3"/>
    <w:basedOn w:val="1"/>
    <w:next w:val="1"/>
    <w:link w:val="32"/>
    <w:unhideWhenUsed/>
    <w:qFormat/>
    <w:uiPriority w:val="9"/>
    <w:pPr>
      <w:keepNext/>
      <w:keepLines/>
      <w:outlineLvl w:val="2"/>
    </w:pPr>
    <w:rPr>
      <w:b/>
      <w:bCs/>
      <w:sz w:val="30"/>
      <w:szCs w:val="32"/>
    </w:rPr>
  </w:style>
  <w:style w:type="paragraph" w:styleId="5">
    <w:name w:val="heading 4"/>
    <w:basedOn w:val="1"/>
    <w:next w:val="1"/>
    <w:link w:val="33"/>
    <w:unhideWhenUsed/>
    <w:qFormat/>
    <w:uiPriority w:val="9"/>
    <w:pPr>
      <w:keepNext/>
      <w:keepLines/>
      <w:outlineLvl w:val="3"/>
    </w:pPr>
    <w:rPr>
      <w:rFonts w:eastAsiaTheme="majorEastAsia" w:cstheme="majorBidi"/>
      <w:bCs/>
      <w:szCs w:val="28"/>
    </w:rPr>
  </w:style>
  <w:style w:type="paragraph" w:styleId="6">
    <w:name w:val="heading 5"/>
    <w:basedOn w:val="1"/>
    <w:next w:val="1"/>
    <w:link w:val="34"/>
    <w:unhideWhenUsed/>
    <w:qFormat/>
    <w:uiPriority w:val="9"/>
    <w:pPr>
      <w:keepNext/>
      <w:keepLines/>
      <w:outlineLvl w:val="4"/>
    </w:pPr>
    <w:rPr>
      <w:bCs/>
      <w:szCs w:val="28"/>
    </w:rPr>
  </w:style>
  <w:style w:type="paragraph" w:styleId="7">
    <w:name w:val="heading 6"/>
    <w:basedOn w:val="1"/>
    <w:next w:val="1"/>
    <w:link w:val="35"/>
    <w:unhideWhenUsed/>
    <w:qFormat/>
    <w:uiPriority w:val="9"/>
    <w:pPr>
      <w:keepNext/>
      <w:keepLines/>
      <w:outlineLvl w:val="5"/>
    </w:pPr>
    <w:rPr>
      <w:rFonts w:eastAsiaTheme="majorEastAsia" w:cstheme="majorBidi"/>
      <w:bCs/>
      <w:szCs w:val="24"/>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8">
    <w:name w:val="Normal Indent"/>
    <w:basedOn w:val="1"/>
    <w:link w:val="57"/>
    <w:qFormat/>
    <w:uiPriority w:val="0"/>
    <w:pPr>
      <w:adjustRightInd w:val="0"/>
      <w:snapToGrid w:val="0"/>
      <w:jc w:val="left"/>
    </w:pPr>
    <w:rPr>
      <w:rFonts w:eastAsia="仿宋_GB2312"/>
      <w:color w:val="auto"/>
      <w:kern w:val="0"/>
      <w:szCs w:val="28"/>
    </w:rPr>
  </w:style>
  <w:style w:type="paragraph" w:styleId="9">
    <w:name w:val="caption"/>
    <w:basedOn w:val="1"/>
    <w:next w:val="1"/>
    <w:unhideWhenUsed/>
    <w:qFormat/>
    <w:uiPriority w:val="35"/>
    <w:pPr>
      <w:ind w:firstLine="0" w:firstLineChars="0"/>
      <w:jc w:val="center"/>
    </w:pPr>
    <w:rPr>
      <w:rFonts w:eastAsia="黑体" w:cstheme="majorBidi"/>
      <w:sz w:val="24"/>
      <w:szCs w:val="20"/>
    </w:rPr>
  </w:style>
  <w:style w:type="paragraph" w:styleId="10">
    <w:name w:val="annotation text"/>
    <w:basedOn w:val="1"/>
    <w:link w:val="36"/>
    <w:unhideWhenUsed/>
    <w:qFormat/>
    <w:uiPriority w:val="99"/>
    <w:pPr>
      <w:adjustRightInd w:val="0"/>
      <w:spacing w:line="490" w:lineRule="exact"/>
      <w:ind w:firstLine="482" w:firstLineChars="0"/>
      <w:jc w:val="left"/>
      <w:textAlignment w:val="baseline"/>
    </w:pPr>
    <w:rPr>
      <w:rFonts w:eastAsia="仿宋_GB2312"/>
      <w:color w:val="auto"/>
      <w:kern w:val="0"/>
      <w:sz w:val="24"/>
      <w:szCs w:val="20"/>
    </w:rPr>
  </w:style>
  <w:style w:type="paragraph" w:styleId="11">
    <w:name w:val="Body Text"/>
    <w:basedOn w:val="1"/>
    <w:link w:val="37"/>
    <w:semiHidden/>
    <w:unhideWhenUsed/>
    <w:qFormat/>
    <w:uiPriority w:val="99"/>
    <w:pPr>
      <w:spacing w:after="120"/>
    </w:pPr>
  </w:style>
  <w:style w:type="paragraph" w:styleId="12">
    <w:name w:val="List 2"/>
    <w:basedOn w:val="1"/>
    <w:qFormat/>
    <w:uiPriority w:val="0"/>
    <w:pPr>
      <w:widowControl/>
      <w:adjustRightInd w:val="0"/>
      <w:ind w:firstLine="0" w:firstLineChars="0"/>
      <w:jc w:val="center"/>
      <w:textAlignment w:val="baseline"/>
    </w:pPr>
    <w:rPr>
      <w:rFonts w:ascii="宋体" w:hAnsi="宋体"/>
      <w:kern w:val="0"/>
      <w:sz w:val="21"/>
      <w:szCs w:val="20"/>
    </w:rPr>
  </w:style>
  <w:style w:type="paragraph" w:styleId="13">
    <w:name w:val="toc 3"/>
    <w:basedOn w:val="1"/>
    <w:next w:val="1"/>
    <w:unhideWhenUsed/>
    <w:qFormat/>
    <w:uiPriority w:val="39"/>
    <w:pPr>
      <w:tabs>
        <w:tab w:val="right" w:leader="dot" w:pos="8296"/>
      </w:tabs>
      <w:ind w:left="560" w:leftChars="200" w:firstLine="480"/>
    </w:pPr>
  </w:style>
  <w:style w:type="paragraph" w:styleId="14">
    <w:name w:val="Date"/>
    <w:basedOn w:val="1"/>
    <w:next w:val="1"/>
    <w:link w:val="38"/>
    <w:unhideWhenUsed/>
    <w:qFormat/>
    <w:uiPriority w:val="99"/>
    <w:pPr>
      <w:ind w:left="100" w:leftChars="2500"/>
    </w:pPr>
  </w:style>
  <w:style w:type="paragraph" w:styleId="15">
    <w:name w:val="Body Text Indent 2"/>
    <w:basedOn w:val="1"/>
    <w:link w:val="60"/>
    <w:unhideWhenUsed/>
    <w:qFormat/>
    <w:uiPriority w:val="99"/>
    <w:pPr>
      <w:spacing w:after="120" w:line="480" w:lineRule="auto"/>
      <w:ind w:left="420" w:leftChars="200"/>
    </w:pPr>
  </w:style>
  <w:style w:type="paragraph" w:styleId="16">
    <w:name w:val="Balloon Text"/>
    <w:basedOn w:val="1"/>
    <w:link w:val="39"/>
    <w:unhideWhenUsed/>
    <w:qFormat/>
    <w:uiPriority w:val="99"/>
    <w:pPr>
      <w:spacing w:line="240" w:lineRule="auto"/>
    </w:pPr>
    <w:rPr>
      <w:sz w:val="18"/>
      <w:szCs w:val="18"/>
    </w:rPr>
  </w:style>
  <w:style w:type="paragraph" w:styleId="17">
    <w:name w:val="footer"/>
    <w:basedOn w:val="1"/>
    <w:link w:val="40"/>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4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unhideWhenUsed/>
    <w:qFormat/>
    <w:uiPriority w:val="39"/>
    <w:pPr>
      <w:tabs>
        <w:tab w:val="right" w:leader="dot" w:pos="8296"/>
      </w:tabs>
      <w:spacing w:afterLines="50" w:line="312" w:lineRule="auto"/>
      <w:ind w:firstLine="0" w:firstLineChars="0"/>
    </w:pPr>
    <w:rPr>
      <w:rFonts w:ascii="黑体" w:hAnsi="黑体" w:eastAsia="黑体"/>
      <w:b/>
      <w:szCs w:val="28"/>
    </w:rPr>
  </w:style>
  <w:style w:type="paragraph" w:styleId="20">
    <w:name w:val="toc 2"/>
    <w:basedOn w:val="1"/>
    <w:next w:val="1"/>
    <w:unhideWhenUsed/>
    <w:qFormat/>
    <w:uiPriority w:val="39"/>
    <w:pPr>
      <w:tabs>
        <w:tab w:val="right" w:leader="dot" w:pos="8296"/>
      </w:tabs>
      <w:ind w:firstLine="480"/>
    </w:pPr>
  </w:style>
  <w:style w:type="paragraph" w:styleId="21">
    <w:name w:val="annotation subject"/>
    <w:basedOn w:val="10"/>
    <w:next w:val="10"/>
    <w:link w:val="42"/>
    <w:unhideWhenUsed/>
    <w:qFormat/>
    <w:uiPriority w:val="99"/>
    <w:pPr>
      <w:adjustRightInd/>
      <w:spacing w:line="360" w:lineRule="auto"/>
      <w:ind w:firstLine="200" w:firstLineChars="200"/>
      <w:textAlignment w:val="auto"/>
    </w:pPr>
    <w:rPr>
      <w:rFonts w:eastAsia="宋体"/>
      <w:b/>
      <w:bCs/>
      <w:color w:val="000000"/>
      <w:kern w:val="2"/>
      <w:sz w:val="28"/>
      <w:szCs w:val="21"/>
    </w:rPr>
  </w:style>
  <w:style w:type="paragraph" w:styleId="22">
    <w:name w:val="Body Text First Indent"/>
    <w:basedOn w:val="1"/>
    <w:link w:val="43"/>
    <w:qFormat/>
    <w:uiPriority w:val="0"/>
    <w:pPr>
      <w:tabs>
        <w:tab w:val="left" w:pos="560"/>
        <w:tab w:val="left" w:pos="1117"/>
        <w:tab w:val="left" w:pos="3920"/>
        <w:tab w:val="left" w:pos="5600"/>
      </w:tabs>
      <w:spacing w:before="60" w:afterLines="50" w:line="520" w:lineRule="exact"/>
      <w:ind w:firstLine="560"/>
      <w:jc w:val="left"/>
      <w:textAlignment w:val="baseline"/>
    </w:pPr>
    <w:rPr>
      <w:rFonts w:ascii="Arial" w:hAnsi="Arial"/>
      <w:color w:val="auto"/>
      <w:kern w:val="0"/>
      <w:szCs w:val="24"/>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semiHidden/>
    <w:unhideWhenUsed/>
    <w:qFormat/>
    <w:uiPriority w:val="99"/>
    <w:rPr>
      <w:color w:val="954F72" w:themeColor="followedHyperlink"/>
      <w:u w:val="single"/>
    </w:rPr>
  </w:style>
  <w:style w:type="character" w:styleId="27">
    <w:name w:val="Emphasis"/>
    <w:basedOn w:val="25"/>
    <w:qFormat/>
    <w:uiPriority w:val="0"/>
    <w:rPr>
      <w:i/>
      <w:iCs/>
    </w:rPr>
  </w:style>
  <w:style w:type="character" w:styleId="28">
    <w:name w:val="Hyperlink"/>
    <w:basedOn w:val="25"/>
    <w:unhideWhenUsed/>
    <w:qFormat/>
    <w:uiPriority w:val="99"/>
    <w:rPr>
      <w:color w:val="0563C1" w:themeColor="hyperlink"/>
      <w:u w:val="single"/>
    </w:rPr>
  </w:style>
  <w:style w:type="character" w:styleId="29">
    <w:name w:val="annotation reference"/>
    <w:qFormat/>
    <w:uiPriority w:val="99"/>
    <w:rPr>
      <w:sz w:val="21"/>
      <w:szCs w:val="21"/>
    </w:rPr>
  </w:style>
  <w:style w:type="character" w:customStyle="1" w:styleId="30">
    <w:name w:val="标题 1 字符"/>
    <w:basedOn w:val="25"/>
    <w:link w:val="2"/>
    <w:qFormat/>
    <w:uiPriority w:val="9"/>
    <w:rPr>
      <w:rFonts w:eastAsia="黑体"/>
      <w:b/>
      <w:bCs/>
      <w:color w:val="000000"/>
      <w:kern w:val="44"/>
      <w:sz w:val="36"/>
      <w:szCs w:val="44"/>
    </w:rPr>
  </w:style>
  <w:style w:type="character" w:customStyle="1" w:styleId="31">
    <w:name w:val="标题 2 字符"/>
    <w:basedOn w:val="25"/>
    <w:link w:val="3"/>
    <w:qFormat/>
    <w:uiPriority w:val="9"/>
    <w:rPr>
      <w:rFonts w:ascii="Times New Roman" w:hAnsi="Times New Roman" w:eastAsia="黑体" w:cstheme="majorBidi"/>
      <w:b/>
      <w:bCs/>
      <w:sz w:val="32"/>
      <w:szCs w:val="32"/>
    </w:rPr>
  </w:style>
  <w:style w:type="character" w:customStyle="1" w:styleId="32">
    <w:name w:val="标题 3 字符"/>
    <w:basedOn w:val="25"/>
    <w:link w:val="4"/>
    <w:qFormat/>
    <w:uiPriority w:val="9"/>
    <w:rPr>
      <w:rFonts w:ascii="Times New Roman" w:hAnsi="Times New Roman" w:eastAsia="宋体" w:cs="Times New Roman"/>
      <w:b/>
      <w:bCs/>
      <w:sz w:val="30"/>
      <w:szCs w:val="32"/>
    </w:rPr>
  </w:style>
  <w:style w:type="character" w:customStyle="1" w:styleId="33">
    <w:name w:val="标题 4 字符"/>
    <w:basedOn w:val="25"/>
    <w:link w:val="5"/>
    <w:qFormat/>
    <w:uiPriority w:val="9"/>
    <w:rPr>
      <w:rFonts w:eastAsiaTheme="majorEastAsia" w:cstheme="majorBidi"/>
      <w:bCs/>
      <w:color w:val="000000"/>
      <w:kern w:val="2"/>
      <w:sz w:val="28"/>
      <w:szCs w:val="28"/>
    </w:rPr>
  </w:style>
  <w:style w:type="character" w:customStyle="1" w:styleId="34">
    <w:name w:val="标题 5 字符"/>
    <w:basedOn w:val="25"/>
    <w:link w:val="6"/>
    <w:qFormat/>
    <w:uiPriority w:val="9"/>
    <w:rPr>
      <w:bCs/>
      <w:color w:val="000000"/>
      <w:kern w:val="2"/>
      <w:sz w:val="28"/>
      <w:szCs w:val="28"/>
    </w:rPr>
  </w:style>
  <w:style w:type="character" w:customStyle="1" w:styleId="35">
    <w:name w:val="标题 6 字符"/>
    <w:basedOn w:val="25"/>
    <w:link w:val="7"/>
    <w:qFormat/>
    <w:uiPriority w:val="9"/>
    <w:rPr>
      <w:rFonts w:eastAsiaTheme="majorEastAsia" w:cstheme="majorBidi"/>
      <w:bCs/>
      <w:color w:val="000000"/>
      <w:kern w:val="2"/>
      <w:sz w:val="28"/>
      <w:szCs w:val="24"/>
    </w:rPr>
  </w:style>
  <w:style w:type="character" w:customStyle="1" w:styleId="36">
    <w:name w:val="批注文字 字符"/>
    <w:link w:val="10"/>
    <w:qFormat/>
    <w:uiPriority w:val="99"/>
    <w:rPr>
      <w:rFonts w:eastAsia="仿宋_GB2312"/>
      <w:color w:val="auto"/>
      <w:kern w:val="0"/>
      <w:sz w:val="24"/>
      <w:szCs w:val="20"/>
    </w:rPr>
  </w:style>
  <w:style w:type="character" w:customStyle="1" w:styleId="37">
    <w:name w:val="正文文本 字符"/>
    <w:basedOn w:val="25"/>
    <w:link w:val="11"/>
    <w:semiHidden/>
    <w:qFormat/>
    <w:uiPriority w:val="99"/>
    <w:rPr>
      <w:color w:val="000000"/>
      <w:kern w:val="2"/>
      <w:sz w:val="28"/>
      <w:szCs w:val="21"/>
    </w:rPr>
  </w:style>
  <w:style w:type="character" w:customStyle="1" w:styleId="38">
    <w:name w:val="日期 字符"/>
    <w:basedOn w:val="25"/>
    <w:link w:val="14"/>
    <w:semiHidden/>
    <w:qFormat/>
    <w:uiPriority w:val="99"/>
    <w:rPr>
      <w:rFonts w:ascii="Times New Roman" w:hAnsi="Times New Roman" w:eastAsia="宋体" w:cs="Times New Roman"/>
      <w:sz w:val="28"/>
      <w:szCs w:val="24"/>
    </w:rPr>
  </w:style>
  <w:style w:type="character" w:customStyle="1" w:styleId="39">
    <w:name w:val="批注框文本 字符"/>
    <w:basedOn w:val="25"/>
    <w:link w:val="16"/>
    <w:semiHidden/>
    <w:qFormat/>
    <w:uiPriority w:val="99"/>
    <w:rPr>
      <w:rFonts w:ascii="Times New Roman" w:hAnsi="Times New Roman" w:eastAsia="宋体" w:cs="Times New Roman"/>
      <w:sz w:val="18"/>
      <w:szCs w:val="18"/>
    </w:rPr>
  </w:style>
  <w:style w:type="character" w:customStyle="1" w:styleId="40">
    <w:name w:val="页脚 字符"/>
    <w:basedOn w:val="25"/>
    <w:link w:val="17"/>
    <w:qFormat/>
    <w:uiPriority w:val="99"/>
    <w:rPr>
      <w:rFonts w:ascii="Times New Roman" w:hAnsi="Times New Roman" w:eastAsia="宋体" w:cs="Times New Roman"/>
      <w:sz w:val="18"/>
      <w:szCs w:val="18"/>
    </w:rPr>
  </w:style>
  <w:style w:type="character" w:customStyle="1" w:styleId="41">
    <w:name w:val="页眉 字符"/>
    <w:basedOn w:val="25"/>
    <w:link w:val="18"/>
    <w:qFormat/>
    <w:uiPriority w:val="99"/>
    <w:rPr>
      <w:rFonts w:ascii="Times New Roman" w:hAnsi="Times New Roman" w:eastAsia="宋体" w:cs="Times New Roman"/>
      <w:sz w:val="18"/>
      <w:szCs w:val="18"/>
    </w:rPr>
  </w:style>
  <w:style w:type="character" w:customStyle="1" w:styleId="42">
    <w:name w:val="批注主题 字符"/>
    <w:basedOn w:val="36"/>
    <w:link w:val="21"/>
    <w:semiHidden/>
    <w:qFormat/>
    <w:uiPriority w:val="99"/>
    <w:rPr>
      <w:rFonts w:eastAsia="仿宋_GB2312"/>
      <w:b/>
      <w:bCs/>
      <w:color w:val="auto"/>
      <w:kern w:val="0"/>
      <w:sz w:val="24"/>
      <w:szCs w:val="20"/>
    </w:rPr>
  </w:style>
  <w:style w:type="character" w:customStyle="1" w:styleId="43">
    <w:name w:val="正文首行缩进 字符"/>
    <w:basedOn w:val="25"/>
    <w:link w:val="22"/>
    <w:qFormat/>
    <w:uiPriority w:val="0"/>
    <w:rPr>
      <w:rFonts w:ascii="Arial" w:hAnsi="Arial"/>
      <w:sz w:val="28"/>
      <w:szCs w:val="24"/>
    </w:rPr>
  </w:style>
  <w:style w:type="paragraph" w:customStyle="1" w:styleId="44">
    <w:name w:val="列出段落1"/>
    <w:basedOn w:val="1"/>
    <w:qFormat/>
    <w:uiPriority w:val="0"/>
  </w:style>
  <w:style w:type="paragraph" w:customStyle="1" w:styleId="45">
    <w:name w:val="表头"/>
    <w:basedOn w:val="1"/>
    <w:qFormat/>
    <w:uiPriority w:val="0"/>
    <w:pPr>
      <w:spacing w:line="288" w:lineRule="auto"/>
      <w:ind w:firstLine="0" w:firstLineChars="0"/>
      <w:jc w:val="center"/>
    </w:pPr>
    <w:rPr>
      <w:rFonts w:eastAsia="黑体"/>
      <w:sz w:val="24"/>
      <w:szCs w:val="28"/>
    </w:rPr>
  </w:style>
  <w:style w:type="paragraph" w:customStyle="1" w:styleId="46">
    <w:name w:val="表格内容"/>
    <w:basedOn w:val="1"/>
    <w:qFormat/>
    <w:uiPriority w:val="0"/>
    <w:pPr>
      <w:adjustRightInd w:val="0"/>
      <w:snapToGrid w:val="0"/>
      <w:spacing w:line="440" w:lineRule="exact"/>
      <w:ind w:firstLine="0" w:firstLineChars="0"/>
      <w:jc w:val="center"/>
    </w:pPr>
    <w:rPr>
      <w:sz w:val="24"/>
    </w:rPr>
  </w:style>
  <w:style w:type="character" w:customStyle="1" w:styleId="47">
    <w:name w:val="占位符文本1"/>
    <w:basedOn w:val="25"/>
    <w:semiHidden/>
    <w:qFormat/>
    <w:uiPriority w:val="99"/>
    <w:rPr>
      <w:color w:val="808080"/>
    </w:rPr>
  </w:style>
  <w:style w:type="character" w:customStyle="1" w:styleId="48">
    <w:name w:val="批注文字 Char"/>
    <w:basedOn w:val="25"/>
    <w:qFormat/>
    <w:uiPriority w:val="99"/>
  </w:style>
  <w:style w:type="paragraph" w:customStyle="1" w:styleId="4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styleId="50">
    <w:name w:val="List Paragraph"/>
    <w:basedOn w:val="1"/>
    <w:qFormat/>
    <w:uiPriority w:val="99"/>
    <w:pPr>
      <w:ind w:firstLine="420"/>
    </w:pPr>
  </w:style>
  <w:style w:type="character" w:customStyle="1" w:styleId="51">
    <w:name w:val="正文首行缩进 Char"/>
    <w:basedOn w:val="37"/>
    <w:semiHidden/>
    <w:qFormat/>
    <w:uiPriority w:val="99"/>
    <w:rPr>
      <w:color w:val="000000"/>
      <w:kern w:val="2"/>
      <w:sz w:val="28"/>
      <w:szCs w:val="21"/>
    </w:rPr>
  </w:style>
  <w:style w:type="paragraph" w:customStyle="1" w:styleId="52">
    <w:name w:val="Char"/>
    <w:basedOn w:val="1"/>
    <w:qFormat/>
    <w:uiPriority w:val="0"/>
    <w:pPr>
      <w:spacing w:line="240" w:lineRule="auto"/>
      <w:ind w:firstLine="0" w:firstLineChars="0"/>
    </w:pPr>
    <w:rPr>
      <w:color w:val="auto"/>
      <w:sz w:val="21"/>
      <w:szCs w:val="24"/>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4">
    <w:name w:val="apple-converted-space"/>
    <w:basedOn w:val="25"/>
    <w:qFormat/>
    <w:uiPriority w:val="0"/>
  </w:style>
  <w:style w:type="table" w:customStyle="1" w:styleId="55">
    <w:name w:val="网格型1"/>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7">
    <w:name w:val="正文缩进 字符"/>
    <w:link w:val="8"/>
    <w:qFormat/>
    <w:uiPriority w:val="0"/>
    <w:rPr>
      <w:rFonts w:eastAsia="仿宋_GB2312"/>
      <w:sz w:val="28"/>
      <w:szCs w:val="28"/>
    </w:rPr>
  </w:style>
  <w:style w:type="paragraph" w:styleId="58">
    <w:name w:val="No Spacing"/>
    <w:basedOn w:val="11"/>
    <w:link w:val="59"/>
    <w:qFormat/>
    <w:uiPriority w:val="1"/>
    <w:pPr>
      <w:adjustRightInd w:val="0"/>
      <w:snapToGrid w:val="0"/>
      <w:spacing w:after="0" w:line="240" w:lineRule="auto"/>
      <w:ind w:firstLine="0" w:firstLineChars="0"/>
      <w:jc w:val="center"/>
    </w:pPr>
    <w:rPr>
      <w:rFonts w:ascii="仿宋_GB2312" w:hAnsi="Calibri" w:eastAsia="仿宋_GB2312"/>
      <w:color w:val="auto"/>
      <w:sz w:val="24"/>
      <w:szCs w:val="24"/>
    </w:rPr>
  </w:style>
  <w:style w:type="character" w:customStyle="1" w:styleId="59">
    <w:name w:val="无间隔 字符"/>
    <w:link w:val="58"/>
    <w:qFormat/>
    <w:uiPriority w:val="1"/>
    <w:rPr>
      <w:rFonts w:ascii="仿宋_GB2312" w:hAnsi="Calibri" w:eastAsia="仿宋_GB2312"/>
      <w:kern w:val="2"/>
      <w:sz w:val="24"/>
      <w:szCs w:val="24"/>
    </w:rPr>
  </w:style>
  <w:style w:type="character" w:customStyle="1" w:styleId="60">
    <w:name w:val="正文文本缩进 2 字符"/>
    <w:basedOn w:val="25"/>
    <w:link w:val="15"/>
    <w:qFormat/>
    <w:uiPriority w:val="99"/>
    <w:rPr>
      <w:color w:val="000000"/>
      <w:kern w:val="2"/>
      <w:sz w:val="28"/>
      <w:szCs w:val="21"/>
    </w:rPr>
  </w:style>
  <w:style w:type="paragraph" w:customStyle="1" w:styleId="61">
    <w:name w:val="_Style 3"/>
    <w:qFormat/>
    <w:uiPriority w:val="99"/>
    <w:pPr>
      <w:widowControl w:val="0"/>
      <w:jc w:val="both"/>
    </w:pPr>
    <w:rPr>
      <w:rFonts w:ascii="Calibri" w:hAnsi="Calibri" w:eastAsia="宋体" w:cs="Times New Roman"/>
      <w:kern w:val="2"/>
      <w:sz w:val="21"/>
      <w:szCs w:val="21"/>
      <w:lang w:val="en-US" w:eastAsia="zh-CN" w:bidi="ar-SA"/>
    </w:rPr>
  </w:style>
  <w:style w:type="paragraph" w:customStyle="1" w:styleId="62">
    <w:name w:val="msonormal"/>
    <w:basedOn w:val="1"/>
    <w:qFormat/>
    <w:uiPriority w:val="0"/>
    <w:pPr>
      <w:widowControl/>
      <w:spacing w:before="100" w:beforeAutospacing="1" w:after="100" w:afterAutospacing="1" w:line="240" w:lineRule="auto"/>
      <w:ind w:firstLine="0" w:firstLineChars="0"/>
      <w:jc w:val="left"/>
    </w:pPr>
    <w:rPr>
      <w:rFonts w:ascii="宋体" w:hAnsi="宋体" w:cs="宋体"/>
      <w:color w:val="auto"/>
      <w:kern w:val="0"/>
      <w:sz w:val="24"/>
      <w:szCs w:val="24"/>
    </w:rPr>
  </w:style>
  <w:style w:type="paragraph" w:customStyle="1" w:styleId="63">
    <w:name w:val="font5"/>
    <w:basedOn w:val="1"/>
    <w:uiPriority w:val="0"/>
    <w:pPr>
      <w:widowControl/>
      <w:spacing w:before="100" w:beforeAutospacing="1" w:after="100" w:afterAutospacing="1" w:line="240" w:lineRule="auto"/>
      <w:ind w:firstLine="0" w:firstLineChars="0"/>
      <w:jc w:val="left"/>
    </w:pPr>
    <w:rPr>
      <w:rFonts w:ascii="宋体" w:hAnsi="宋体" w:cs="宋体"/>
      <w:color w:val="auto"/>
      <w:kern w:val="0"/>
      <w:sz w:val="18"/>
      <w:szCs w:val="18"/>
    </w:rPr>
  </w:style>
  <w:style w:type="paragraph" w:customStyle="1" w:styleId="64">
    <w:name w:val="xl65"/>
    <w:basedOn w:val="1"/>
    <w:qFormat/>
    <w:uiPriority w:val="0"/>
    <w:pPr>
      <w:widowControl/>
      <w:spacing w:before="100" w:beforeAutospacing="1" w:after="100" w:afterAutospacing="1" w:line="240" w:lineRule="auto"/>
      <w:ind w:firstLine="0" w:firstLineChars="0"/>
      <w:jc w:val="center"/>
    </w:pPr>
    <w:rPr>
      <w:rFonts w:ascii="宋体" w:hAnsi="宋体" w:cs="宋体"/>
      <w:color w:val="auto"/>
      <w:kern w:val="0"/>
      <w:sz w:val="24"/>
      <w:szCs w:val="24"/>
    </w:rPr>
  </w:style>
  <w:style w:type="paragraph" w:customStyle="1" w:styleId="65">
    <w:name w:val="xl66"/>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auto"/>
      <w:kern w:val="0"/>
      <w:sz w:val="24"/>
      <w:szCs w:val="24"/>
    </w:rPr>
  </w:style>
  <w:style w:type="paragraph" w:customStyle="1" w:styleId="66">
    <w:name w:val="xl67"/>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auto"/>
      <w:kern w:val="0"/>
      <w:sz w:val="24"/>
      <w:szCs w:val="24"/>
    </w:rPr>
  </w:style>
  <w:style w:type="paragraph" w:customStyle="1" w:styleId="67">
    <w:name w:val="xl68"/>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FF0000"/>
      <w:kern w:val="0"/>
      <w:sz w:val="24"/>
      <w:szCs w:val="24"/>
    </w:rPr>
  </w:style>
  <w:style w:type="paragraph" w:customStyle="1" w:styleId="68">
    <w:name w:val="xl69"/>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auto"/>
      <w:kern w:val="0"/>
      <w:sz w:val="24"/>
      <w:szCs w:val="24"/>
    </w:rPr>
  </w:style>
  <w:style w:type="paragraph" w:customStyle="1" w:styleId="69">
    <w:name w:val="xl70"/>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auto"/>
      <w:kern w:val="0"/>
      <w:sz w:val="24"/>
      <w:szCs w:val="24"/>
    </w:rPr>
  </w:style>
  <w:style w:type="paragraph" w:customStyle="1" w:styleId="70">
    <w:name w:val="xl71"/>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auto"/>
      <w:kern w:val="0"/>
      <w:sz w:val="24"/>
      <w:szCs w:val="24"/>
    </w:rPr>
  </w:style>
  <w:style w:type="paragraph" w:customStyle="1" w:styleId="71">
    <w:name w:val="xl72"/>
    <w:basedOn w:val="1"/>
    <w:qFormat/>
    <w:uiPriority w:val="0"/>
    <w:pPr>
      <w:widowControl/>
      <w:spacing w:before="100" w:beforeAutospacing="1" w:after="100" w:afterAutospacing="1" w:line="240" w:lineRule="auto"/>
      <w:ind w:firstLine="0" w:firstLineChars="0"/>
      <w:jc w:val="center"/>
    </w:pPr>
    <w:rPr>
      <w:rFonts w:ascii="宋体" w:hAnsi="宋体" w:cs="宋体"/>
      <w:color w:val="auto"/>
      <w:kern w:val="0"/>
      <w:sz w:val="24"/>
      <w:szCs w:val="24"/>
    </w:rPr>
  </w:style>
  <w:style w:type="paragraph" w:customStyle="1" w:styleId="72">
    <w:name w:val="xl73"/>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auto"/>
      <w:kern w:val="0"/>
      <w:sz w:val="24"/>
      <w:szCs w:val="24"/>
    </w:rPr>
  </w:style>
  <w:style w:type="paragraph" w:customStyle="1" w:styleId="73">
    <w:name w:val="xl74"/>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FF0000"/>
      <w:kern w:val="0"/>
      <w:sz w:val="24"/>
      <w:szCs w:val="24"/>
    </w:rPr>
  </w:style>
  <w:style w:type="paragraph" w:customStyle="1" w:styleId="74">
    <w:name w:val="xl75"/>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auto"/>
      <w:kern w:val="0"/>
      <w:sz w:val="24"/>
      <w:szCs w:val="24"/>
    </w:rPr>
  </w:style>
  <w:style w:type="paragraph" w:customStyle="1" w:styleId="75">
    <w:name w:val="xl76"/>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auto"/>
      <w:kern w:val="0"/>
      <w:sz w:val="24"/>
      <w:szCs w:val="24"/>
    </w:rPr>
  </w:style>
  <w:style w:type="paragraph" w:customStyle="1" w:styleId="76">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77">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auto"/>
      <w:kern w:val="0"/>
      <w:sz w:val="18"/>
      <w:szCs w:val="18"/>
    </w:rPr>
  </w:style>
  <w:style w:type="paragraph" w:customStyle="1" w:styleId="78">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auto"/>
      <w:kern w:val="0"/>
      <w:sz w:val="20"/>
      <w:szCs w:val="20"/>
    </w:rPr>
  </w:style>
  <w:style w:type="paragraph" w:customStyle="1" w:styleId="79">
    <w:name w:val="xl77"/>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auto"/>
      <w:kern w:val="0"/>
      <w:sz w:val="24"/>
      <w:szCs w:val="24"/>
    </w:rPr>
  </w:style>
  <w:style w:type="paragraph" w:customStyle="1" w:styleId="80">
    <w:name w:val="xl78"/>
    <w:basedOn w:val="1"/>
    <w:qFormat/>
    <w:uiPriority w:val="0"/>
    <w:pPr>
      <w:widowControl/>
      <w:spacing w:before="100" w:beforeAutospacing="1" w:after="100" w:afterAutospacing="1" w:line="240" w:lineRule="auto"/>
      <w:ind w:firstLine="0" w:firstLineChars="0"/>
      <w:jc w:val="center"/>
    </w:pPr>
    <w:rPr>
      <w:rFonts w:ascii="宋体" w:hAnsi="宋体" w:cs="宋体"/>
      <w:b/>
      <w:bCs/>
      <w:color w:val="auto"/>
      <w:kern w:val="0"/>
      <w:sz w:val="24"/>
      <w:szCs w:val="24"/>
    </w:rPr>
  </w:style>
  <w:style w:type="paragraph" w:customStyle="1" w:styleId="81">
    <w:name w:val="xl79"/>
    <w:basedOn w:val="1"/>
    <w:qFormat/>
    <w:uiPriority w:val="0"/>
    <w:pPr>
      <w:widowControl/>
      <w:spacing w:before="100" w:beforeAutospacing="1" w:after="100" w:afterAutospacing="1" w:line="240" w:lineRule="auto"/>
      <w:ind w:firstLine="0" w:firstLineChars="0"/>
      <w:jc w:val="left"/>
    </w:pPr>
    <w:rPr>
      <w:rFonts w:ascii="宋体" w:hAnsi="宋体" w:cs="宋体"/>
      <w:b/>
      <w:bCs/>
      <w:color w:val="auto"/>
      <w:kern w:val="0"/>
      <w:sz w:val="24"/>
      <w:szCs w:val="24"/>
    </w:rPr>
  </w:style>
  <w:style w:type="paragraph" w:customStyle="1" w:styleId="82">
    <w:name w:val="xl80"/>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FF0000"/>
      <w:kern w:val="0"/>
      <w:sz w:val="24"/>
      <w:szCs w:val="24"/>
    </w:rPr>
  </w:style>
  <w:style w:type="paragraph" w:customStyle="1" w:styleId="83">
    <w:name w:val="xl81"/>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b/>
      <w:bCs/>
      <w:color w:val="auto"/>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6575F7-DEC3-4262-8674-F17F27082014}">
  <ds:schemaRefs/>
</ds:datastoreItem>
</file>

<file path=docProps/app.xml><?xml version="1.0" encoding="utf-8"?>
<Properties xmlns="http://schemas.openxmlformats.org/officeDocument/2006/extended-properties" xmlns:vt="http://schemas.openxmlformats.org/officeDocument/2006/docPropsVTypes">
  <Template>Normal</Template>
  <Company>SinoSteel</Company>
  <Pages>1</Pages>
  <Words>10261</Words>
  <Characters>58493</Characters>
  <Lines>487</Lines>
  <Paragraphs>137</Paragraphs>
  <TotalTime>14386</TotalTime>
  <ScaleCrop>false</ScaleCrop>
  <LinksUpToDate>false</LinksUpToDate>
  <CharactersWithSpaces>68617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2018-01-14T03:54:00Z</dcterms:created>
  <dc:creator>GIGABYTE</dc:creator>
  <cp:lastModifiedBy>Administrator</cp:lastModifiedBy>
  <cp:lastPrinted>2020-06-05T07:27:00Z</cp:lastPrinted>
  <dcterms:modified xsi:type="dcterms:W3CDTF">2025-05-07T01:44:03Z</dcterms:modified>
  <cp:revision>711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