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90" w:beforeLines="50" w:line="480" w:lineRule="auto"/>
        <w:ind w:firstLine="0" w:firstLineChars="0"/>
        <w:rPr>
          <w:rFonts w:ascii="宋体" w:hAnsi="宋体"/>
          <w:b/>
          <w:color w:val="auto"/>
          <w:kern w:val="0"/>
          <w:sz w:val="44"/>
          <w:szCs w:val="44"/>
          <w:highlight w:val="none"/>
        </w:rPr>
      </w:pPr>
    </w:p>
    <w:p>
      <w:pPr>
        <w:spacing w:before="190" w:beforeLines="50" w:line="480" w:lineRule="auto"/>
        <w:ind w:firstLine="0" w:firstLineChars="0"/>
        <w:rPr>
          <w:rFonts w:ascii="宋体" w:hAnsi="宋体"/>
          <w:b/>
          <w:color w:val="auto"/>
          <w:kern w:val="0"/>
          <w:sz w:val="44"/>
          <w:szCs w:val="44"/>
          <w:highlight w:val="none"/>
        </w:rPr>
      </w:pPr>
    </w:p>
    <w:p>
      <w:pPr>
        <w:ind w:firstLine="0" w:firstLineChars="0"/>
        <w:jc w:val="center"/>
        <w:rPr>
          <w:rFonts w:eastAsia="黑体"/>
          <w:b/>
          <w:color w:val="auto"/>
          <w:sz w:val="52"/>
          <w:szCs w:val="52"/>
          <w:highlight w:val="none"/>
        </w:rPr>
      </w:pPr>
      <w:bookmarkStart w:id="117" w:name="_GoBack"/>
      <w:r>
        <w:rPr>
          <w:rFonts w:hint="eastAsia" w:eastAsia="黑体"/>
          <w:b/>
          <w:color w:val="auto"/>
          <w:sz w:val="52"/>
          <w:szCs w:val="52"/>
          <w:highlight w:val="none"/>
        </w:rPr>
        <w:t>咸宁国家高新技术产业开发区</w:t>
      </w:r>
    </w:p>
    <w:p>
      <w:pPr>
        <w:spacing w:line="240" w:lineRule="auto"/>
        <w:ind w:firstLine="0" w:firstLineChars="0"/>
        <w:jc w:val="center"/>
        <w:rPr>
          <w:rFonts w:ascii="宋体" w:hAnsi="宋体"/>
          <w:b/>
          <w:color w:val="auto"/>
          <w:sz w:val="32"/>
          <w:szCs w:val="36"/>
          <w:highlight w:val="none"/>
        </w:rPr>
      </w:pPr>
    </w:p>
    <w:p>
      <w:pPr>
        <w:ind w:firstLine="0" w:firstLineChars="0"/>
        <w:jc w:val="center"/>
        <w:rPr>
          <w:rFonts w:eastAsia="黑体"/>
          <w:b/>
          <w:color w:val="auto"/>
          <w:sz w:val="52"/>
          <w:szCs w:val="52"/>
          <w:highlight w:val="none"/>
        </w:rPr>
      </w:pPr>
      <w:r>
        <w:rPr>
          <w:rFonts w:hint="eastAsia" w:eastAsia="黑体"/>
          <w:b/>
          <w:color w:val="auto"/>
          <w:sz w:val="52"/>
          <w:szCs w:val="52"/>
          <w:highlight w:val="none"/>
        </w:rPr>
        <w:t>区域节能报告</w:t>
      </w:r>
    </w:p>
    <w:bookmarkEnd w:id="117"/>
    <w:p>
      <w:pPr>
        <w:spacing w:line="720" w:lineRule="auto"/>
        <w:ind w:firstLine="0" w:firstLineChars="0"/>
        <w:jc w:val="center"/>
        <w:rPr>
          <w:rFonts w:ascii="宋体" w:hAnsi="宋体"/>
          <w:b/>
          <w:color w:val="auto"/>
          <w:sz w:val="44"/>
          <w:szCs w:val="36"/>
          <w:highlight w:val="none"/>
        </w:rPr>
      </w:pPr>
    </w:p>
    <w:p>
      <w:pPr>
        <w:ind w:firstLine="0" w:firstLineChars="0"/>
        <w:rPr>
          <w:rFonts w:ascii="宋体" w:hAnsi="宋体"/>
          <w:b/>
          <w:color w:val="auto"/>
          <w:sz w:val="36"/>
          <w:szCs w:val="36"/>
          <w:highlight w:val="none"/>
        </w:rPr>
      </w:pPr>
    </w:p>
    <w:p>
      <w:pPr>
        <w:ind w:firstLine="0" w:firstLineChars="0"/>
        <w:jc w:val="center"/>
        <w:rPr>
          <w:rFonts w:ascii="宋体" w:hAnsi="宋体"/>
          <w:b/>
          <w:color w:val="auto"/>
          <w:sz w:val="36"/>
          <w:szCs w:val="36"/>
          <w:highlight w:val="none"/>
        </w:rPr>
      </w:pPr>
      <w:r>
        <w:rPr>
          <w:rFonts w:hint="eastAsia" w:ascii="宋体" w:hAnsi="宋体"/>
          <w:b/>
          <w:color w:val="auto"/>
          <w:sz w:val="36"/>
          <w:szCs w:val="36"/>
          <w:highlight w:val="none"/>
        </w:rPr>
        <w:t>（</w:t>
      </w:r>
      <w:r>
        <w:rPr>
          <w:rFonts w:hint="eastAsia" w:ascii="宋体" w:hAnsi="宋体"/>
          <w:b/>
          <w:color w:val="auto"/>
          <w:sz w:val="36"/>
          <w:szCs w:val="36"/>
          <w:highlight w:val="none"/>
          <w:lang w:val="en-US" w:eastAsia="zh-CN"/>
        </w:rPr>
        <w:t>报批</w:t>
      </w:r>
      <w:r>
        <w:rPr>
          <w:rFonts w:hint="eastAsia" w:ascii="宋体" w:hAnsi="宋体"/>
          <w:b/>
          <w:color w:val="auto"/>
          <w:sz w:val="36"/>
          <w:szCs w:val="36"/>
          <w:highlight w:val="none"/>
        </w:rPr>
        <w:t>稿）</w:t>
      </w:r>
    </w:p>
    <w:p>
      <w:pPr>
        <w:ind w:firstLine="0" w:firstLineChars="0"/>
        <w:rPr>
          <w:rFonts w:ascii="宋体" w:hAnsi="宋体"/>
          <w:b/>
          <w:color w:val="auto"/>
          <w:sz w:val="36"/>
          <w:szCs w:val="36"/>
          <w:highlight w:val="none"/>
        </w:rPr>
      </w:pPr>
    </w:p>
    <w:p>
      <w:pPr>
        <w:ind w:firstLine="0" w:firstLineChars="0"/>
        <w:rPr>
          <w:rFonts w:ascii="宋体" w:hAnsi="宋体"/>
          <w:b/>
          <w:color w:val="auto"/>
          <w:sz w:val="24"/>
          <w:highlight w:val="none"/>
        </w:rPr>
      </w:pPr>
    </w:p>
    <w:p>
      <w:pPr>
        <w:ind w:firstLine="0" w:firstLineChars="0"/>
        <w:jc w:val="center"/>
        <w:rPr>
          <w:rFonts w:ascii="宋体" w:hAnsi="宋体"/>
          <w:b/>
          <w:color w:val="auto"/>
          <w:sz w:val="24"/>
          <w:highlight w:val="none"/>
        </w:rPr>
      </w:pPr>
    </w:p>
    <w:p>
      <w:pPr>
        <w:ind w:firstLine="0" w:firstLineChars="0"/>
        <w:jc w:val="center"/>
        <w:rPr>
          <w:rFonts w:ascii="宋体" w:hAnsi="宋体"/>
          <w:b/>
          <w:color w:val="auto"/>
          <w:sz w:val="24"/>
          <w:highlight w:val="none"/>
        </w:rPr>
      </w:pPr>
    </w:p>
    <w:p>
      <w:pPr>
        <w:ind w:firstLine="0" w:firstLineChars="0"/>
        <w:rPr>
          <w:rFonts w:ascii="宋体" w:hAnsi="宋体"/>
          <w:b/>
          <w:color w:val="auto"/>
          <w:sz w:val="24"/>
          <w:highlight w:val="none"/>
        </w:rPr>
      </w:pPr>
    </w:p>
    <w:p>
      <w:pPr>
        <w:ind w:firstLine="0" w:firstLineChars="0"/>
        <w:jc w:val="center"/>
        <w:rPr>
          <w:rFonts w:ascii="宋体" w:hAnsi="宋体"/>
          <w:b/>
          <w:color w:val="auto"/>
          <w:sz w:val="24"/>
          <w:highlight w:val="none"/>
        </w:rPr>
      </w:pPr>
    </w:p>
    <w:p>
      <w:pPr>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建设单位：咸宁高新技术产业开发区管理委员会</w:t>
      </w:r>
    </w:p>
    <w:p>
      <w:pPr>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编制单位：湖北省工程</w:t>
      </w:r>
      <w:r>
        <w:rPr>
          <w:rFonts w:ascii="宋体" w:hAnsi="宋体"/>
          <w:b/>
          <w:color w:val="auto"/>
          <w:sz w:val="32"/>
          <w:szCs w:val="32"/>
          <w:highlight w:val="none"/>
        </w:rPr>
        <w:t>咨询股份有限公司</w:t>
      </w:r>
    </w:p>
    <w:p>
      <w:pPr>
        <w:ind w:firstLine="0" w:firstLineChars="0"/>
        <w:jc w:val="center"/>
        <w:rPr>
          <w:rFonts w:ascii="宋体" w:hAnsi="宋体"/>
          <w:b/>
          <w:color w:val="auto"/>
          <w:sz w:val="32"/>
          <w:szCs w:val="32"/>
          <w:highlight w:val="none"/>
        </w:rPr>
      </w:pPr>
    </w:p>
    <w:p>
      <w:pPr>
        <w:ind w:firstLine="0" w:firstLineChars="0"/>
        <w:jc w:val="center"/>
        <w:rPr>
          <w:rFonts w:ascii="宋体" w:hAnsi="宋体"/>
          <w:b/>
          <w:color w:val="auto"/>
          <w:sz w:val="32"/>
          <w:szCs w:val="44"/>
          <w:highlight w:val="none"/>
        </w:rPr>
      </w:pPr>
      <w:r>
        <w:rPr>
          <w:rFonts w:hint="eastAsia" w:ascii="宋体" w:hAnsi="宋体"/>
          <w:b/>
          <w:color w:val="auto"/>
          <w:sz w:val="32"/>
          <w:szCs w:val="44"/>
          <w:highlight w:val="none"/>
        </w:rPr>
        <w:t>二〇二</w:t>
      </w:r>
      <w:r>
        <w:rPr>
          <w:rFonts w:hint="eastAsia" w:ascii="宋体" w:hAnsi="宋体"/>
          <w:b/>
          <w:color w:val="auto"/>
          <w:sz w:val="32"/>
          <w:szCs w:val="44"/>
          <w:highlight w:val="none"/>
          <w:lang w:val="en-US" w:eastAsia="zh-CN"/>
        </w:rPr>
        <w:t>四</w:t>
      </w:r>
      <w:r>
        <w:rPr>
          <w:rFonts w:hint="eastAsia" w:ascii="宋体" w:hAnsi="宋体"/>
          <w:b/>
          <w:color w:val="auto"/>
          <w:sz w:val="32"/>
          <w:szCs w:val="44"/>
          <w:highlight w:val="none"/>
        </w:rPr>
        <w:t>年</w:t>
      </w:r>
      <w:r>
        <w:rPr>
          <w:rFonts w:hint="eastAsia" w:ascii="宋体" w:hAnsi="宋体"/>
          <w:b/>
          <w:color w:val="auto"/>
          <w:sz w:val="32"/>
          <w:szCs w:val="44"/>
          <w:highlight w:val="none"/>
          <w:lang w:val="en-US" w:eastAsia="zh-CN"/>
        </w:rPr>
        <w:t>二</w:t>
      </w:r>
      <w:r>
        <w:rPr>
          <w:rFonts w:hint="eastAsia" w:ascii="宋体" w:hAnsi="宋体"/>
          <w:b/>
          <w:color w:val="auto"/>
          <w:sz w:val="32"/>
          <w:szCs w:val="44"/>
          <w:highlight w:val="none"/>
        </w:rPr>
        <w:t>月</w:t>
      </w:r>
      <w:r>
        <w:rPr>
          <w:rFonts w:ascii="宋体" w:hAnsi="宋体"/>
          <w:b/>
          <w:color w:val="auto"/>
          <w:sz w:val="32"/>
          <w:szCs w:val="44"/>
          <w:highlight w:val="none"/>
        </w:rPr>
        <w:br w:type="page"/>
      </w:r>
    </w:p>
    <w:p>
      <w:pPr>
        <w:spacing w:before="190" w:beforeLines="50" w:line="480" w:lineRule="auto"/>
        <w:ind w:firstLine="0" w:firstLineChars="0"/>
        <w:jc w:val="center"/>
        <w:rPr>
          <w:b/>
          <w:color w:val="auto"/>
          <w:sz w:val="44"/>
          <w:szCs w:val="44"/>
          <w:highlight w:val="none"/>
        </w:rPr>
      </w:pPr>
      <w:bookmarkStart w:id="0" w:name="_Hlk514857029"/>
    </w:p>
    <w:p>
      <w:pPr>
        <w:spacing w:before="190" w:beforeLines="50" w:line="480" w:lineRule="auto"/>
        <w:ind w:firstLine="0" w:firstLineChars="0"/>
        <w:jc w:val="center"/>
        <w:rPr>
          <w:b/>
          <w:color w:val="auto"/>
          <w:sz w:val="44"/>
          <w:szCs w:val="44"/>
          <w:highlight w:val="none"/>
        </w:rPr>
      </w:pPr>
    </w:p>
    <w:p>
      <w:pPr>
        <w:ind w:firstLine="0" w:firstLineChars="0"/>
        <w:jc w:val="center"/>
        <w:rPr>
          <w:rFonts w:eastAsia="黑体"/>
          <w:b/>
          <w:color w:val="auto"/>
          <w:sz w:val="52"/>
          <w:szCs w:val="52"/>
          <w:highlight w:val="none"/>
        </w:rPr>
      </w:pPr>
      <w:r>
        <w:rPr>
          <w:rFonts w:hint="eastAsia" w:eastAsia="黑体"/>
          <w:b/>
          <w:color w:val="auto"/>
          <w:sz w:val="52"/>
          <w:szCs w:val="52"/>
          <w:highlight w:val="none"/>
        </w:rPr>
        <w:t>咸宁国家高新技术产业开发区</w:t>
      </w:r>
    </w:p>
    <w:p>
      <w:pPr>
        <w:spacing w:line="240" w:lineRule="auto"/>
        <w:ind w:firstLine="0" w:firstLineChars="0"/>
        <w:jc w:val="center"/>
        <w:rPr>
          <w:rFonts w:ascii="宋体" w:hAnsi="宋体"/>
          <w:b/>
          <w:color w:val="auto"/>
          <w:sz w:val="32"/>
          <w:szCs w:val="36"/>
          <w:highlight w:val="none"/>
        </w:rPr>
      </w:pPr>
    </w:p>
    <w:p>
      <w:pPr>
        <w:ind w:firstLine="0" w:firstLineChars="0"/>
        <w:jc w:val="center"/>
        <w:rPr>
          <w:rFonts w:eastAsia="黑体"/>
          <w:b/>
          <w:color w:val="auto"/>
          <w:sz w:val="52"/>
          <w:szCs w:val="52"/>
          <w:highlight w:val="none"/>
        </w:rPr>
      </w:pPr>
      <w:r>
        <w:rPr>
          <w:rFonts w:hint="eastAsia" w:eastAsia="黑体"/>
          <w:b/>
          <w:color w:val="auto"/>
          <w:sz w:val="52"/>
          <w:szCs w:val="52"/>
          <w:highlight w:val="none"/>
        </w:rPr>
        <w:t>区域节能报告</w:t>
      </w:r>
    </w:p>
    <w:p>
      <w:pPr>
        <w:ind w:firstLine="0" w:firstLineChars="0"/>
        <w:jc w:val="center"/>
        <w:rPr>
          <w:b/>
          <w:color w:val="auto"/>
          <w:sz w:val="44"/>
          <w:szCs w:val="44"/>
          <w:highlight w:val="none"/>
        </w:rPr>
      </w:pPr>
    </w:p>
    <w:p>
      <w:pPr>
        <w:ind w:firstLine="0" w:firstLineChars="0"/>
        <w:jc w:val="center"/>
        <w:rPr>
          <w:rFonts w:ascii="宋体" w:hAnsi="宋体"/>
          <w:b/>
          <w:color w:val="auto"/>
          <w:sz w:val="32"/>
          <w:szCs w:val="44"/>
          <w:highlight w:val="none"/>
        </w:rPr>
      </w:pPr>
    </w:p>
    <w:p>
      <w:pPr>
        <w:ind w:firstLine="0" w:firstLineChars="0"/>
        <w:rPr>
          <w:rFonts w:ascii="宋体" w:hAnsi="宋体"/>
          <w:b/>
          <w:color w:val="auto"/>
          <w:sz w:val="32"/>
          <w:szCs w:val="44"/>
          <w:highlight w:val="none"/>
        </w:rPr>
      </w:pPr>
    </w:p>
    <w:p>
      <w:pPr>
        <w:ind w:firstLine="0" w:firstLineChars="0"/>
        <w:jc w:val="center"/>
        <w:rPr>
          <w:rFonts w:ascii="宋体" w:hAnsi="宋体"/>
          <w:b/>
          <w:color w:val="auto"/>
          <w:sz w:val="32"/>
          <w:szCs w:val="44"/>
          <w:highlight w:val="none"/>
        </w:rPr>
      </w:pPr>
    </w:p>
    <w:p>
      <w:pPr>
        <w:ind w:firstLine="0" w:firstLineChars="0"/>
        <w:jc w:val="center"/>
        <w:rPr>
          <w:rFonts w:ascii="宋体" w:hAnsi="宋体"/>
          <w:b/>
          <w:color w:val="auto"/>
          <w:sz w:val="32"/>
          <w:szCs w:val="44"/>
          <w:highlight w:val="none"/>
        </w:rPr>
      </w:pPr>
    </w:p>
    <w:p>
      <w:pPr>
        <w:ind w:firstLine="0" w:firstLineChars="0"/>
        <w:jc w:val="center"/>
        <w:rPr>
          <w:rFonts w:ascii="宋体" w:hAnsi="宋体"/>
          <w:b/>
          <w:color w:val="auto"/>
          <w:sz w:val="32"/>
          <w:szCs w:val="44"/>
          <w:highlight w:val="none"/>
        </w:rPr>
      </w:pPr>
    </w:p>
    <w:p>
      <w:pPr>
        <w:pStyle w:val="15"/>
        <w:keepNext w:val="0"/>
        <w:keepLines w:val="0"/>
        <w:pageBreakBefore w:val="0"/>
        <w:widowControl w:val="0"/>
        <w:tabs>
          <w:tab w:val="left" w:pos="1620"/>
        </w:tabs>
        <w:kinsoku/>
        <w:wordWrap/>
        <w:overflowPunct/>
        <w:topLinePunct w:val="0"/>
        <w:bidi w:val="0"/>
        <w:spacing w:line="640" w:lineRule="exact"/>
        <w:ind w:firstLine="1270" w:firstLineChars="397"/>
        <w:rPr>
          <w:rFonts w:ascii="Times New Roman" w:hAnsi="Times New Roman"/>
          <w:color w:val="auto"/>
          <w:kern w:val="10"/>
          <w:sz w:val="32"/>
          <w:highlight w:val="none"/>
        </w:rPr>
      </w:pPr>
      <w:r>
        <w:rPr>
          <w:rFonts w:ascii="Times New Roman" w:hAnsi="Times New Roman"/>
          <w:color w:val="auto"/>
          <w:kern w:val="10"/>
          <w:sz w:val="32"/>
          <w:highlight w:val="none"/>
        </w:rPr>
        <w:t>法定代表人：</w:t>
      </w:r>
      <w:r>
        <w:rPr>
          <w:rFonts w:hint="eastAsia" w:ascii="Times New Roman" w:hAnsi="Times New Roman"/>
          <w:color w:val="auto"/>
          <w:kern w:val="10"/>
          <w:sz w:val="32"/>
          <w:highlight w:val="none"/>
        </w:rPr>
        <w:t>杨  辉</w:t>
      </w:r>
      <w:r>
        <w:rPr>
          <w:rFonts w:ascii="Times New Roman" w:hAnsi="Times New Roman"/>
          <w:color w:val="auto"/>
          <w:kern w:val="10"/>
          <w:sz w:val="32"/>
          <w:highlight w:val="none"/>
        </w:rPr>
        <w:t xml:space="preserve">  </w:t>
      </w:r>
      <w:r>
        <w:rPr>
          <w:rFonts w:hint="eastAsia" w:ascii="Times New Roman" w:hAnsi="Times New Roman"/>
          <w:color w:val="auto"/>
          <w:kern w:val="10"/>
          <w:sz w:val="32"/>
          <w:highlight w:val="none"/>
        </w:rPr>
        <w:t>高级工程师</w:t>
      </w:r>
    </w:p>
    <w:p>
      <w:pPr>
        <w:pStyle w:val="15"/>
        <w:keepNext w:val="0"/>
        <w:keepLines w:val="0"/>
        <w:pageBreakBefore w:val="0"/>
        <w:widowControl w:val="0"/>
        <w:tabs>
          <w:tab w:val="left" w:pos="1620"/>
        </w:tabs>
        <w:kinsoku/>
        <w:wordWrap/>
        <w:overflowPunct/>
        <w:topLinePunct w:val="0"/>
        <w:bidi w:val="0"/>
        <w:spacing w:line="640" w:lineRule="exact"/>
        <w:ind w:firstLine="1270" w:firstLineChars="397"/>
        <w:rPr>
          <w:rFonts w:ascii="Times New Roman" w:hAnsi="Times New Roman"/>
          <w:color w:val="auto"/>
          <w:kern w:val="10"/>
          <w:sz w:val="32"/>
          <w:highlight w:val="none"/>
        </w:rPr>
      </w:pPr>
      <w:r>
        <w:rPr>
          <w:rFonts w:ascii="Times New Roman" w:hAnsi="Times New Roman"/>
          <w:color w:val="auto"/>
          <w:kern w:val="10"/>
          <w:sz w:val="32"/>
          <w:highlight w:val="none"/>
        </w:rPr>
        <w:t>分 管领 导：</w:t>
      </w:r>
      <w:r>
        <w:rPr>
          <w:rFonts w:hint="eastAsia" w:ascii="Times New Roman" w:hAnsi="Times New Roman"/>
          <w:color w:val="auto"/>
          <w:kern w:val="10"/>
          <w:sz w:val="32"/>
          <w:highlight w:val="none"/>
        </w:rPr>
        <w:t>祝晓明</w:t>
      </w:r>
      <w:r>
        <w:rPr>
          <w:rFonts w:ascii="Times New Roman" w:hAnsi="Times New Roman"/>
          <w:color w:val="auto"/>
          <w:kern w:val="10"/>
          <w:sz w:val="32"/>
          <w:highlight w:val="none"/>
        </w:rPr>
        <w:t xml:space="preserve">  咨询工程师（投资）</w:t>
      </w:r>
    </w:p>
    <w:p>
      <w:pPr>
        <w:pStyle w:val="15"/>
        <w:keepNext w:val="0"/>
        <w:keepLines w:val="0"/>
        <w:pageBreakBefore w:val="0"/>
        <w:widowControl w:val="0"/>
        <w:tabs>
          <w:tab w:val="left" w:pos="1620"/>
        </w:tabs>
        <w:kinsoku/>
        <w:wordWrap/>
        <w:overflowPunct/>
        <w:topLinePunct w:val="0"/>
        <w:bidi w:val="0"/>
        <w:spacing w:line="640" w:lineRule="exact"/>
        <w:ind w:firstLine="1270" w:firstLineChars="397"/>
        <w:rPr>
          <w:rFonts w:ascii="Times New Roman" w:hAnsi="Times New Roman"/>
          <w:color w:val="auto"/>
          <w:kern w:val="10"/>
          <w:sz w:val="32"/>
          <w:highlight w:val="none"/>
        </w:rPr>
      </w:pPr>
      <w:r>
        <w:rPr>
          <w:rFonts w:ascii="Times New Roman" w:hAnsi="Times New Roman"/>
          <w:color w:val="auto"/>
          <w:kern w:val="10"/>
          <w:sz w:val="32"/>
          <w:highlight w:val="none"/>
        </w:rPr>
        <w:t>总 经济 师：蔡国沛  咨询工程师（投资）</w:t>
      </w:r>
    </w:p>
    <w:p>
      <w:pPr>
        <w:pStyle w:val="15"/>
        <w:keepNext w:val="0"/>
        <w:keepLines w:val="0"/>
        <w:pageBreakBefore w:val="0"/>
        <w:widowControl w:val="0"/>
        <w:tabs>
          <w:tab w:val="left" w:pos="1620"/>
        </w:tabs>
        <w:kinsoku/>
        <w:wordWrap/>
        <w:overflowPunct/>
        <w:topLinePunct w:val="0"/>
        <w:bidi w:val="0"/>
        <w:spacing w:line="640" w:lineRule="exact"/>
        <w:ind w:firstLine="1270" w:firstLineChars="397"/>
        <w:rPr>
          <w:rFonts w:ascii="Times New Roman" w:hAnsi="Times New Roman"/>
          <w:color w:val="auto"/>
          <w:kern w:val="10"/>
          <w:sz w:val="32"/>
          <w:highlight w:val="none"/>
        </w:rPr>
      </w:pPr>
      <w:r>
        <w:rPr>
          <w:rFonts w:ascii="Times New Roman" w:hAnsi="Times New Roman"/>
          <w:color w:val="auto"/>
          <w:kern w:val="10"/>
          <w:sz w:val="32"/>
          <w:highlight w:val="none"/>
        </w:rPr>
        <w:t>部门负责人：</w:t>
      </w:r>
      <w:r>
        <w:rPr>
          <w:rFonts w:hint="eastAsia" w:ascii="Times New Roman" w:hAnsi="Times New Roman"/>
          <w:color w:val="auto"/>
          <w:kern w:val="10"/>
          <w:sz w:val="32"/>
          <w:highlight w:val="none"/>
          <w:lang w:val="en-US" w:eastAsia="zh-CN"/>
        </w:rPr>
        <w:t>张利真</w:t>
      </w:r>
      <w:r>
        <w:rPr>
          <w:rFonts w:ascii="Times New Roman" w:hAnsi="Times New Roman"/>
          <w:color w:val="auto"/>
          <w:kern w:val="10"/>
          <w:sz w:val="32"/>
          <w:highlight w:val="none"/>
        </w:rPr>
        <w:t xml:space="preserve">  </w:t>
      </w:r>
      <w:r>
        <w:rPr>
          <w:rFonts w:hint="eastAsia" w:ascii="Times New Roman" w:hAnsi="Times New Roman"/>
          <w:color w:val="auto"/>
          <w:kern w:val="10"/>
          <w:sz w:val="32"/>
          <w:highlight w:val="none"/>
        </w:rPr>
        <w:t>高级工程师</w:t>
      </w:r>
    </w:p>
    <w:p>
      <w:pPr>
        <w:pStyle w:val="15"/>
        <w:keepNext w:val="0"/>
        <w:keepLines w:val="0"/>
        <w:pageBreakBefore w:val="0"/>
        <w:widowControl w:val="0"/>
        <w:tabs>
          <w:tab w:val="left" w:pos="1620"/>
        </w:tabs>
        <w:kinsoku/>
        <w:wordWrap/>
        <w:overflowPunct/>
        <w:topLinePunct w:val="0"/>
        <w:bidi w:val="0"/>
        <w:spacing w:line="640" w:lineRule="exact"/>
        <w:ind w:firstLine="1270" w:firstLineChars="397"/>
        <w:rPr>
          <w:rFonts w:ascii="Times New Roman" w:hAnsi="Times New Roman"/>
          <w:color w:val="auto"/>
          <w:kern w:val="10"/>
          <w:sz w:val="32"/>
          <w:highlight w:val="none"/>
        </w:rPr>
      </w:pPr>
      <w:r>
        <w:rPr>
          <w:rFonts w:ascii="Times New Roman" w:hAnsi="Times New Roman"/>
          <w:color w:val="auto"/>
          <w:kern w:val="10"/>
          <w:sz w:val="32"/>
          <w:highlight w:val="none"/>
        </w:rPr>
        <w:t>项目负责人：</w:t>
      </w:r>
      <w:r>
        <w:rPr>
          <w:rFonts w:hint="eastAsia" w:ascii="Times New Roman" w:hAnsi="Times New Roman"/>
          <w:color w:val="auto"/>
          <w:kern w:val="10"/>
          <w:sz w:val="32"/>
          <w:highlight w:val="none"/>
          <w:lang w:val="en-US" w:eastAsia="zh-CN"/>
        </w:rPr>
        <w:t>熊锦辉</w:t>
      </w:r>
      <w:r>
        <w:rPr>
          <w:rFonts w:ascii="Times New Roman" w:hAnsi="Times New Roman"/>
          <w:color w:val="auto"/>
          <w:kern w:val="10"/>
          <w:sz w:val="32"/>
          <w:highlight w:val="none"/>
        </w:rPr>
        <w:t xml:space="preserve">  工程师</w:t>
      </w:r>
    </w:p>
    <w:p>
      <w:pPr>
        <w:ind w:firstLine="0" w:firstLineChars="0"/>
        <w:jc w:val="center"/>
        <w:rPr>
          <w:color w:val="auto"/>
          <w:szCs w:val="28"/>
          <w:highlight w:val="none"/>
        </w:rPr>
      </w:pPr>
    </w:p>
    <w:bookmarkEnd w:id="0"/>
    <w:p>
      <w:pPr>
        <w:ind w:firstLine="0" w:firstLineChars="0"/>
        <w:jc w:val="center"/>
        <w:rPr>
          <w:b/>
          <w:color w:val="auto"/>
          <w:szCs w:val="30"/>
          <w:highlight w:val="none"/>
        </w:rPr>
      </w:pPr>
      <w:r>
        <w:rPr>
          <w:rFonts w:hint="eastAsia" w:ascii="宋体" w:hAnsi="宋体"/>
          <w:b/>
          <w:color w:val="auto"/>
          <w:sz w:val="32"/>
          <w:szCs w:val="44"/>
          <w:highlight w:val="none"/>
        </w:rPr>
        <w:t>二〇二</w:t>
      </w:r>
      <w:r>
        <w:rPr>
          <w:rFonts w:hint="eastAsia" w:ascii="宋体" w:hAnsi="宋体"/>
          <w:b/>
          <w:color w:val="auto"/>
          <w:sz w:val="32"/>
          <w:szCs w:val="44"/>
          <w:highlight w:val="none"/>
          <w:lang w:val="en-US" w:eastAsia="zh-CN"/>
        </w:rPr>
        <w:t>四</w:t>
      </w:r>
      <w:r>
        <w:rPr>
          <w:rFonts w:hint="eastAsia" w:ascii="宋体" w:hAnsi="宋体"/>
          <w:b/>
          <w:color w:val="auto"/>
          <w:sz w:val="32"/>
          <w:szCs w:val="44"/>
          <w:highlight w:val="none"/>
        </w:rPr>
        <w:t>年</w:t>
      </w:r>
      <w:r>
        <w:rPr>
          <w:rFonts w:hint="eastAsia" w:ascii="宋体" w:hAnsi="宋体"/>
          <w:b/>
          <w:color w:val="auto"/>
          <w:sz w:val="32"/>
          <w:szCs w:val="44"/>
          <w:highlight w:val="none"/>
          <w:lang w:val="en-US" w:eastAsia="zh-CN"/>
        </w:rPr>
        <w:t>二</w:t>
      </w:r>
      <w:r>
        <w:rPr>
          <w:rFonts w:hint="eastAsia" w:ascii="宋体" w:hAnsi="宋体"/>
          <w:b/>
          <w:color w:val="auto"/>
          <w:sz w:val="32"/>
          <w:szCs w:val="44"/>
          <w:highlight w:val="none"/>
        </w:rPr>
        <w:t>月</w:t>
      </w:r>
    </w:p>
    <w:p>
      <w:pPr>
        <w:widowControl/>
        <w:ind w:firstLine="0" w:firstLineChars="0"/>
        <w:jc w:val="center"/>
        <w:rPr>
          <w:rFonts w:ascii="宋体" w:hAnsi="宋体"/>
          <w:b/>
          <w:color w:val="auto"/>
          <w:sz w:val="32"/>
          <w:szCs w:val="28"/>
          <w:highlight w:val="none"/>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1440" w:right="1800" w:bottom="1440" w:left="1800" w:header="851" w:footer="992" w:gutter="0"/>
          <w:cols w:space="720" w:num="1"/>
          <w:docGrid w:type="lines" w:linePitch="381" w:charSpace="0"/>
        </w:sectPr>
      </w:pPr>
    </w:p>
    <w:p>
      <w:pPr>
        <w:jc w:val="center"/>
        <w:rPr>
          <w:rFonts w:ascii="仿宋" w:hAnsi="仿宋" w:eastAsia="仿宋"/>
          <w:bCs/>
          <w:color w:val="auto"/>
          <w:sz w:val="44"/>
          <w:szCs w:val="44"/>
          <w:highlight w:val="none"/>
        </w:rPr>
      </w:pPr>
      <w:r>
        <w:rPr>
          <w:rFonts w:ascii="宋体" w:hAnsi="宋体" w:eastAsia="宋体" w:cs="宋体"/>
          <w:color w:val="auto"/>
          <w:sz w:val="24"/>
          <w:szCs w:val="24"/>
          <w:highlight w:val="none"/>
        </w:rPr>
        <w:drawing>
          <wp:anchor distT="0" distB="0" distL="114300" distR="114300" simplePos="0" relativeHeight="251659264" behindDoc="0" locked="0" layoutInCell="1" allowOverlap="1">
            <wp:simplePos x="0" y="0"/>
            <wp:positionH relativeFrom="column">
              <wp:posOffset>-190500</wp:posOffset>
            </wp:positionH>
            <wp:positionV relativeFrom="paragraph">
              <wp:posOffset>330200</wp:posOffset>
            </wp:positionV>
            <wp:extent cx="5674995" cy="8032750"/>
            <wp:effectExtent l="0" t="0" r="1905" b="6350"/>
            <wp:wrapSquare wrapText="bothSides"/>
            <wp:docPr id="25"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descr="IMG_256"/>
                    <pic:cNvPicPr>
                      <a:picLocks noChangeAspect="1"/>
                    </pic:cNvPicPr>
                  </pic:nvPicPr>
                  <pic:blipFill>
                    <a:blip r:embed="rId14"/>
                    <a:stretch>
                      <a:fillRect/>
                    </a:stretch>
                  </pic:blipFill>
                  <pic:spPr>
                    <a:xfrm>
                      <a:off x="0" y="0"/>
                      <a:ext cx="5674995" cy="803275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仿宋" w:hAnsi="仿宋" w:eastAsia="仿宋"/>
          <w:bCs/>
          <w:color w:val="auto"/>
          <w:sz w:val="28"/>
          <w:szCs w:val="28"/>
          <w:highlight w:val="none"/>
        </w:rPr>
      </w:pPr>
    </w:p>
    <w:p>
      <w:pPr>
        <w:pStyle w:val="37"/>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仿宋" w:hAnsi="仿宋" w:eastAsia="仿宋"/>
          <w:bCs/>
          <w:color w:val="auto"/>
          <w:sz w:val="28"/>
          <w:szCs w:val="28"/>
          <w:highlight w:val="none"/>
        </w:rPr>
      </w:pPr>
    </w:p>
    <w:p>
      <w:pPr>
        <w:pStyle w:val="37"/>
        <w:keepNext w:val="0"/>
        <w:keepLines w:val="0"/>
        <w:pageBreakBefore w:val="0"/>
        <w:widowControl w:val="0"/>
        <w:kinsoku/>
        <w:wordWrap/>
        <w:overflowPunct/>
        <w:topLinePunct w:val="0"/>
        <w:autoSpaceDE/>
        <w:autoSpaceDN/>
        <w:bidi w:val="0"/>
        <w:adjustRightInd/>
        <w:snapToGrid/>
        <w:ind w:left="0" w:leftChars="0"/>
        <w:jc w:val="center"/>
        <w:textAlignment w:val="auto"/>
        <w:rPr>
          <w:rFonts w:ascii="宋体" w:hAnsi="宋体"/>
          <w:color w:val="auto"/>
          <w:szCs w:val="28"/>
          <w:highlight w:val="none"/>
        </w:rPr>
      </w:pPr>
      <w:r>
        <w:rPr>
          <w:rFonts w:hint="eastAsia" w:ascii="仿宋" w:hAnsi="仿宋" w:eastAsia="仿宋"/>
          <w:bCs/>
          <w:color w:val="auto"/>
          <w:sz w:val="28"/>
          <w:szCs w:val="28"/>
          <w:highlight w:val="none"/>
          <w:lang w:eastAsia="zh-CN"/>
        </w:rPr>
        <w:drawing>
          <wp:anchor distT="0" distB="0" distL="114300" distR="114300" simplePos="0" relativeHeight="251660288" behindDoc="0" locked="0" layoutInCell="1" allowOverlap="1">
            <wp:simplePos x="0" y="0"/>
            <wp:positionH relativeFrom="column">
              <wp:posOffset>-135890</wp:posOffset>
            </wp:positionH>
            <wp:positionV relativeFrom="paragraph">
              <wp:posOffset>19050</wp:posOffset>
            </wp:positionV>
            <wp:extent cx="5492750" cy="7688580"/>
            <wp:effectExtent l="0" t="0" r="6350" b="7620"/>
            <wp:wrapSquare wrapText="bothSides"/>
            <wp:docPr id="24" name="图片 4" descr="QQ图片2023071017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descr="QQ图片20230710174421"/>
                    <pic:cNvPicPr>
                      <a:picLocks noChangeAspect="1"/>
                    </pic:cNvPicPr>
                  </pic:nvPicPr>
                  <pic:blipFill>
                    <a:blip r:embed="rId15"/>
                    <a:stretch>
                      <a:fillRect/>
                    </a:stretch>
                  </pic:blipFill>
                  <pic:spPr>
                    <a:xfrm>
                      <a:off x="0" y="0"/>
                      <a:ext cx="5492750" cy="7688580"/>
                    </a:xfrm>
                    <a:prstGeom prst="rect">
                      <a:avLst/>
                    </a:prstGeom>
                    <a:noFill/>
                    <a:ln>
                      <a:noFill/>
                    </a:ln>
                  </pic:spPr>
                </pic:pic>
              </a:graphicData>
            </a:graphic>
          </wp:anchor>
        </w:drawing>
      </w:r>
    </w:p>
    <w:p>
      <w:pPr>
        <w:tabs>
          <w:tab w:val="left" w:pos="2189"/>
        </w:tabs>
        <w:ind w:firstLine="0" w:firstLineChars="0"/>
        <w:rPr>
          <w:rFonts w:ascii="宋体" w:hAnsi="宋体"/>
          <w:color w:val="auto"/>
          <w:sz w:val="30"/>
          <w:szCs w:val="30"/>
          <w:highlight w:val="none"/>
        </w:rPr>
        <w:sectPr>
          <w:pgSz w:w="11906" w:h="16838"/>
          <w:pgMar w:top="1440" w:right="1800" w:bottom="1440" w:left="1800" w:header="851" w:footer="992" w:gutter="0"/>
          <w:cols w:space="720" w:num="1"/>
          <w:docGrid w:type="lines" w:linePitch="381" w:charSpace="0"/>
        </w:sectPr>
      </w:pPr>
    </w:p>
    <w:p>
      <w:pPr>
        <w:ind w:left="0" w:leftChars="0" w:firstLine="0" w:firstLineChars="0"/>
        <w:jc w:val="center"/>
        <w:rPr>
          <w:b/>
          <w:bCs/>
          <w:color w:val="auto"/>
          <w:sz w:val="52"/>
          <w:szCs w:val="52"/>
          <w:highlight w:val="none"/>
        </w:rPr>
      </w:pPr>
      <w:bookmarkStart w:id="1" w:name="_Toc39096573"/>
      <w:bookmarkStart w:id="2" w:name="_Toc39827521"/>
      <w:bookmarkStart w:id="3" w:name="_Toc40625142"/>
      <w:bookmarkStart w:id="4" w:name="_Toc39827710"/>
      <w:r>
        <w:rPr>
          <w:rFonts w:hint="eastAsia"/>
          <w:b/>
          <w:bCs/>
          <w:color w:val="auto"/>
          <w:sz w:val="52"/>
          <w:szCs w:val="52"/>
          <w:highlight w:val="none"/>
        </w:rPr>
        <w:t>前 言</w:t>
      </w:r>
      <w:bookmarkEnd w:id="1"/>
      <w:bookmarkEnd w:id="2"/>
      <w:bookmarkEnd w:id="3"/>
      <w:bookmarkEnd w:id="4"/>
    </w:p>
    <w:p>
      <w:pPr>
        <w:ind w:firstLine="560"/>
        <w:rPr>
          <w:color w:val="auto"/>
          <w:highlight w:val="none"/>
        </w:rPr>
      </w:pPr>
      <w:r>
        <w:rPr>
          <w:rFonts w:hint="eastAsia"/>
          <w:color w:val="auto"/>
          <w:highlight w:val="none"/>
        </w:rPr>
        <w:t>为认真做好区域性统一评估试点工作，优化营商环境，推进节能领域行政审批制度改革，全面提升固定资产投资项目节能审查效率，2019年3月13日，国务院办公厅下发了《国务院办公厅关于全面开展工程建设项目审批制度改革的实施意见》（国办发（2019）11号）要求精简审批环节，推行由政府统一组织对环境影响评估、节能评估等实行区域评估。湖北省先后下发了《省人民政府办公厅关于印发湖北省工程建设项目审批制度改革实施方案的通知》（鄂政办发（2019）44号）</w:t>
      </w:r>
      <w:r>
        <w:rPr>
          <w:rFonts w:hint="eastAsia"/>
          <w:color w:val="auto"/>
          <w:highlight w:val="none"/>
          <w:lang w:val="en-US" w:eastAsia="zh-CN"/>
        </w:rPr>
        <w:t>、</w:t>
      </w:r>
      <w:r>
        <w:rPr>
          <w:rFonts w:hint="eastAsia"/>
          <w:color w:val="auto"/>
          <w:highlight w:val="none"/>
        </w:rPr>
        <w:t>《省发展改革委关于印发＜湖北省县（市、区）区域节能评估实施细则（试行）的通知＞》（鄂发改规（2019）2号）</w:t>
      </w:r>
      <w:r>
        <w:rPr>
          <w:rFonts w:hint="eastAsia"/>
          <w:color w:val="auto"/>
          <w:highlight w:val="none"/>
          <w:lang w:val="en-US" w:eastAsia="zh-CN"/>
        </w:rPr>
        <w:t>和《省发改委关于印发湖北省固定资产投资项目节能审查实施办法的通知》（鄂发改规（2023）1号）</w:t>
      </w:r>
      <w:r>
        <w:rPr>
          <w:rFonts w:hint="eastAsia"/>
          <w:color w:val="auto"/>
          <w:highlight w:val="none"/>
        </w:rPr>
        <w:t>，明确</w:t>
      </w:r>
      <w:r>
        <w:rPr>
          <w:rFonts w:hint="eastAsia"/>
          <w:color w:val="auto"/>
          <w:highlight w:val="none"/>
          <w:lang w:val="en-US" w:eastAsia="zh-CN"/>
        </w:rPr>
        <w:t>提出</w:t>
      </w:r>
      <w:r>
        <w:rPr>
          <w:rFonts w:hint="eastAsia"/>
          <w:color w:val="auto"/>
          <w:highlight w:val="none"/>
        </w:rPr>
        <w:t>在</w:t>
      </w:r>
      <w:r>
        <w:rPr>
          <w:rFonts w:hint="eastAsia"/>
          <w:color w:val="auto"/>
          <w:highlight w:val="none"/>
          <w:lang w:val="en-US" w:eastAsia="zh-CN"/>
        </w:rPr>
        <w:t>开发区开展</w:t>
      </w:r>
      <w:r>
        <w:rPr>
          <w:rFonts w:hint="eastAsia"/>
          <w:color w:val="auto"/>
          <w:highlight w:val="none"/>
        </w:rPr>
        <w:t>区域节能评估。</w:t>
      </w:r>
    </w:p>
    <w:p>
      <w:pPr>
        <w:ind w:firstLine="560"/>
        <w:rPr>
          <w:rFonts w:hint="eastAsia"/>
          <w:color w:val="auto"/>
          <w:highlight w:val="none"/>
        </w:rPr>
      </w:pPr>
      <w:r>
        <w:rPr>
          <w:rFonts w:hint="eastAsia"/>
          <w:color w:val="auto"/>
          <w:highlight w:val="none"/>
        </w:rPr>
        <w:t>咸宁国家高新技术产业开发区前身为咸宁经济开发区，组建于2006年7月。2015年2月，经省政府批准更名为咸宁高新技术产业园区，努力打造咸宁创新驱动先行区、鄂南强市增长极、绿色崛起排头兵，一直保持快速发展态势。2017年2月，经国务院批复，正式成为国家高新技术产业开发区（简称</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咸宁</w:t>
      </w:r>
      <w:r>
        <w:rPr>
          <w:rFonts w:asciiTheme="minorEastAsia" w:hAnsiTheme="minorEastAsia" w:eastAsiaTheme="minorEastAsia"/>
          <w:color w:val="auto"/>
          <w:highlight w:val="none"/>
        </w:rPr>
        <w:t>高新区”</w:t>
      </w:r>
      <w:r>
        <w:rPr>
          <w:rFonts w:hint="eastAsia"/>
          <w:color w:val="auto"/>
          <w:highlight w:val="none"/>
        </w:rPr>
        <w:t>），成为咸宁市重要的经济增长极、先进制造业核心。近年来，咸宁高新区先后引进红牛、南玻、奥瑞金、立邦等行业</w:t>
      </w:r>
      <w:r>
        <w:rPr>
          <w:color w:val="auto"/>
          <w:highlight w:val="none"/>
        </w:rPr>
        <w:t>龙头</w:t>
      </w:r>
      <w:r>
        <w:rPr>
          <w:rFonts w:hint="eastAsia"/>
          <w:color w:val="auto"/>
          <w:highlight w:val="none"/>
        </w:rPr>
        <w:t>企业，不断增强发展后劲，实现产业集聚，实力壮大，主要经济指标超出全省平均水平，增幅位居前列，园区呈现欣欣向荣的发展态势。</w:t>
      </w:r>
    </w:p>
    <w:p>
      <w:pPr>
        <w:ind w:firstLine="560"/>
        <w:rPr>
          <w:rFonts w:hint="eastAsia"/>
          <w:color w:val="auto"/>
          <w:highlight w:val="none"/>
        </w:rPr>
      </w:pPr>
      <w:r>
        <w:rPr>
          <w:rFonts w:hint="eastAsia"/>
          <w:color w:val="auto"/>
          <w:highlight w:val="none"/>
        </w:rPr>
        <w:t>近年来，咸宁国家高新技术产业开发区紧密对接全省“一主引领、两翼驱动、全域协同”区域发展布局，积极探索具有区域特色的发展道路，努力打造特色产业增长极、转型发展示范区，形成创新驱动、融合发展、结构优化的高质量发展新格局，为建设光谷科技创新大走廊咸宁功能区创造了有利条件。</w:t>
      </w:r>
    </w:p>
    <w:p>
      <w:pPr>
        <w:ind w:firstLine="560"/>
        <w:rPr>
          <w:color w:val="auto"/>
          <w:highlight w:val="none"/>
        </w:rPr>
      </w:pPr>
      <w:r>
        <w:rPr>
          <w:rFonts w:hint="eastAsia"/>
          <w:color w:val="auto"/>
          <w:highlight w:val="none"/>
        </w:rPr>
        <w:t>20</w:t>
      </w:r>
      <w:r>
        <w:rPr>
          <w:rFonts w:hint="eastAsia"/>
          <w:color w:val="auto"/>
          <w:highlight w:val="none"/>
          <w:lang w:val="en-US" w:eastAsia="zh-CN"/>
        </w:rPr>
        <w:t>23</w:t>
      </w:r>
      <w:r>
        <w:rPr>
          <w:rFonts w:hint="eastAsia"/>
          <w:color w:val="auto"/>
          <w:highlight w:val="none"/>
        </w:rPr>
        <w:t>年</w:t>
      </w:r>
      <w:r>
        <w:rPr>
          <w:rFonts w:hint="eastAsia"/>
          <w:color w:val="auto"/>
          <w:highlight w:val="none"/>
          <w:lang w:val="en-US" w:eastAsia="zh-CN"/>
        </w:rPr>
        <w:t>10</w:t>
      </w:r>
      <w:r>
        <w:rPr>
          <w:rFonts w:hint="eastAsia"/>
          <w:color w:val="auto"/>
          <w:highlight w:val="none"/>
        </w:rPr>
        <w:t>月，咸宁国家高新技术产业开发区管委会委托湖北省工程</w:t>
      </w:r>
      <w:r>
        <w:rPr>
          <w:color w:val="auto"/>
          <w:highlight w:val="none"/>
        </w:rPr>
        <w:t>咨询股份有限公司</w:t>
      </w:r>
      <w:r>
        <w:rPr>
          <w:rFonts w:hint="eastAsia"/>
          <w:color w:val="auto"/>
          <w:highlight w:val="none"/>
        </w:rPr>
        <w:t>承担《咸宁国家高新技术产业开发区区域节能报告》的编制工作。我司立即组织有关技术人员开展实地调研、资料收集等用能摸底调查，并依据国家、行业及地方相关法律法规、政策标准和产业规划，进行区域能效水平分析，测算评估区域能源“双控”指标，提出提高能源利用效率、降低能源消耗的对策和措施，编制区域节能报告，制定区域固定资产投资项目节能审查负面清单。</w:t>
      </w:r>
    </w:p>
    <w:p>
      <w:pPr>
        <w:ind w:firstLine="560"/>
        <w:rPr>
          <w:color w:val="auto"/>
          <w:highlight w:val="none"/>
        </w:rPr>
      </w:pPr>
    </w:p>
    <w:p>
      <w:pPr>
        <w:ind w:firstLine="560"/>
        <w:rPr>
          <w:color w:val="auto"/>
          <w:highlight w:val="none"/>
        </w:rPr>
        <w:sectPr>
          <w:headerReference r:id="rId9" w:type="default"/>
          <w:pgSz w:w="11906" w:h="16838"/>
          <w:pgMar w:top="1440" w:right="1800" w:bottom="1440" w:left="1800" w:header="850" w:footer="992" w:gutter="0"/>
          <w:cols w:space="425" w:num="1"/>
          <w:docGrid w:type="lines" w:linePitch="381" w:charSpace="0"/>
        </w:sectPr>
      </w:pPr>
    </w:p>
    <w:p>
      <w:pPr>
        <w:ind w:left="0" w:leftChars="0" w:firstLine="0" w:firstLineChars="0"/>
        <w:jc w:val="center"/>
        <w:rPr>
          <w:b/>
          <w:bCs/>
          <w:color w:val="auto"/>
          <w:sz w:val="44"/>
          <w:szCs w:val="44"/>
          <w:highlight w:val="none"/>
        </w:rPr>
      </w:pPr>
      <w:bookmarkStart w:id="5" w:name="_Toc39827522"/>
      <w:bookmarkStart w:id="6" w:name="_Toc40625143"/>
      <w:bookmarkStart w:id="7" w:name="_Toc39827711"/>
      <w:bookmarkStart w:id="8" w:name="_Toc39096574"/>
      <w:r>
        <w:rPr>
          <w:rFonts w:hint="eastAsia"/>
          <w:b/>
          <w:bCs/>
          <w:color w:val="auto"/>
          <w:sz w:val="44"/>
          <w:szCs w:val="44"/>
          <w:highlight w:val="none"/>
        </w:rPr>
        <w:t>目 录</w:t>
      </w:r>
      <w:bookmarkEnd w:id="5"/>
      <w:bookmarkEnd w:id="6"/>
      <w:bookmarkEnd w:id="7"/>
      <w:bookmarkEnd w:id="8"/>
    </w:p>
    <w:sdt>
      <w:sdtPr>
        <w:rPr>
          <w:rFonts w:ascii="Times New Roman" w:hAnsi="Times New Roman" w:eastAsia="宋体"/>
          <w:b w:val="0"/>
          <w:color w:val="auto"/>
          <w:szCs w:val="21"/>
          <w:highlight w:val="none"/>
          <w:lang w:val="zh-CN"/>
        </w:rPr>
        <w:id w:val="-1147584931"/>
        <w:docPartObj>
          <w:docPartGallery w:val="Table of Contents"/>
          <w:docPartUnique/>
        </w:docPartObj>
      </w:sdtPr>
      <w:sdtEndPr>
        <w:rPr>
          <w:rFonts w:ascii="Times New Roman" w:hAnsi="Times New Roman" w:eastAsia="宋体"/>
          <w:b w:val="0"/>
          <w:bCs/>
          <w:color w:val="auto"/>
          <w:szCs w:val="21"/>
          <w:highlight w:val="none"/>
          <w:lang w:val="zh-CN"/>
        </w:rPr>
      </w:sdtEndPr>
      <w:sdtContent>
        <w:p>
          <w:pPr>
            <w:pStyle w:val="21"/>
            <w:spacing w:afterLines="0" w:line="240" w:lineRule="auto"/>
            <w:ind w:firstLine="482"/>
            <w:rPr>
              <w:rFonts w:ascii="黑体" w:hAnsi="黑体" w:eastAsia="黑体" w:cs="Times New Roman"/>
              <w:b/>
              <w:bCs/>
              <w:color w:val="auto"/>
              <w:kern w:val="2"/>
              <w:sz w:val="24"/>
              <w:szCs w:val="24"/>
              <w:highlight w:val="none"/>
              <w:lang w:val="zh-CN" w:eastAsia="zh-CN" w:bidi="ar-SA"/>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TOC \o "1-3" \h \z \u </w:instrText>
          </w:r>
          <w:r>
            <w:rPr>
              <w:rFonts w:ascii="Times New Roman" w:hAnsi="Times New Roman"/>
              <w:color w:val="auto"/>
              <w:sz w:val="24"/>
              <w:szCs w:val="24"/>
              <w:highlight w:val="none"/>
            </w:rPr>
            <w:fldChar w:fldCharType="separate"/>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_Toc16763 </w:instrText>
          </w:r>
          <w:r>
            <w:rPr>
              <w:bCs/>
              <w:szCs w:val="24"/>
              <w:highlight w:val="none"/>
              <w:lang w:val="zh-CN"/>
            </w:rPr>
            <w:fldChar w:fldCharType="separate"/>
          </w:r>
          <w:r>
            <w:rPr>
              <w:rFonts w:hint="eastAsia"/>
            </w:rPr>
            <w:t xml:space="preserve">第一章 </w:t>
          </w:r>
          <w:r>
            <w:rPr>
              <w:rFonts w:hint="eastAsia"/>
              <w:highlight w:val="none"/>
            </w:rPr>
            <w:t>总论</w:t>
          </w:r>
          <w:r>
            <w:tab/>
          </w:r>
          <w:r>
            <w:fldChar w:fldCharType="begin"/>
          </w:r>
          <w:r>
            <w:instrText xml:space="preserve"> PAGEREF _Toc16763 \h </w:instrText>
          </w:r>
          <w:r>
            <w:fldChar w:fldCharType="separate"/>
          </w:r>
          <w:r>
            <w:t>1</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_Toc11632 </w:instrText>
          </w:r>
          <w:r>
            <w:rPr>
              <w:bCs/>
              <w:szCs w:val="24"/>
              <w:highlight w:val="none"/>
              <w:lang w:val="zh-CN"/>
            </w:rPr>
            <w:fldChar w:fldCharType="separate"/>
          </w:r>
          <w:r>
            <w:rPr>
              <w:rFonts w:hint="eastAsia"/>
            </w:rPr>
            <w:t xml:space="preserve">1.1. </w:t>
          </w:r>
          <w:r>
            <w:rPr>
              <w:rFonts w:hint="eastAsia"/>
              <w:highlight w:val="none"/>
            </w:rPr>
            <w:t>区域</w:t>
          </w:r>
          <w:r>
            <w:rPr>
              <w:highlight w:val="none"/>
            </w:rPr>
            <w:t>界定</w:t>
          </w:r>
          <w:r>
            <w:tab/>
          </w:r>
          <w:r>
            <w:fldChar w:fldCharType="begin"/>
          </w:r>
          <w:r>
            <w:instrText xml:space="preserve"> PAGEREF _Toc11632 \h </w:instrText>
          </w:r>
          <w:r>
            <w:fldChar w:fldCharType="separate"/>
          </w:r>
          <w:r>
            <w:t>1</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_Toc21255 </w:instrText>
          </w:r>
          <w:r>
            <w:rPr>
              <w:bCs/>
              <w:szCs w:val="24"/>
              <w:highlight w:val="none"/>
              <w:lang w:val="zh-CN"/>
            </w:rPr>
            <w:fldChar w:fldCharType="separate"/>
          </w:r>
          <w:r>
            <w:rPr>
              <w:rFonts w:hint="eastAsia"/>
            </w:rPr>
            <w:t xml:space="preserve">1.2. </w:t>
          </w:r>
          <w:r>
            <w:rPr>
              <w:rFonts w:hint="eastAsia"/>
              <w:highlight w:val="none"/>
            </w:rPr>
            <w:t>评价</w:t>
          </w:r>
          <w:r>
            <w:rPr>
              <w:highlight w:val="none"/>
            </w:rPr>
            <w:t>依据</w:t>
          </w:r>
          <w:r>
            <w:tab/>
          </w:r>
          <w:r>
            <w:fldChar w:fldCharType="begin"/>
          </w:r>
          <w:r>
            <w:instrText xml:space="preserve"> PAGEREF _Toc21255 \h </w:instrText>
          </w:r>
          <w:r>
            <w:fldChar w:fldCharType="separate"/>
          </w:r>
          <w:r>
            <w:t>4</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_Toc2127 </w:instrText>
          </w:r>
          <w:r>
            <w:rPr>
              <w:bCs/>
              <w:szCs w:val="24"/>
              <w:highlight w:val="none"/>
              <w:lang w:val="zh-CN"/>
            </w:rPr>
            <w:fldChar w:fldCharType="separate"/>
          </w:r>
          <w:r>
            <w:rPr>
              <w:rFonts w:hint="eastAsia"/>
            </w:rPr>
            <w:t xml:space="preserve">1.2.1. </w:t>
          </w:r>
          <w:r>
            <w:rPr>
              <w:rFonts w:hint="eastAsia"/>
              <w:highlight w:val="none"/>
            </w:rPr>
            <w:t>法律法规</w:t>
          </w:r>
          <w:r>
            <w:tab/>
          </w:r>
          <w:r>
            <w:fldChar w:fldCharType="begin"/>
          </w:r>
          <w:r>
            <w:instrText xml:space="preserve"> PAGEREF _Toc2127 \h </w:instrText>
          </w:r>
          <w:r>
            <w:fldChar w:fldCharType="separate"/>
          </w:r>
          <w:r>
            <w:t>4</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_Toc3836 </w:instrText>
          </w:r>
          <w:r>
            <w:rPr>
              <w:bCs/>
              <w:szCs w:val="24"/>
              <w:highlight w:val="none"/>
              <w:lang w:val="zh-CN"/>
            </w:rPr>
            <w:fldChar w:fldCharType="separate"/>
          </w:r>
          <w:r>
            <w:rPr>
              <w:rFonts w:hint="eastAsia"/>
            </w:rPr>
            <w:t xml:space="preserve">1.2.2. </w:t>
          </w:r>
          <w:r>
            <w:rPr>
              <w:rFonts w:hint="eastAsia"/>
              <w:highlight w:val="none"/>
            </w:rPr>
            <w:t>部门及地方规范性文件</w:t>
          </w:r>
          <w:r>
            <w:tab/>
          </w:r>
          <w:r>
            <w:fldChar w:fldCharType="begin"/>
          </w:r>
          <w:r>
            <w:instrText xml:space="preserve"> PAGEREF _Toc3836 \h </w:instrText>
          </w:r>
          <w:r>
            <w:fldChar w:fldCharType="separate"/>
          </w:r>
          <w:r>
            <w:t>4</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_Toc32088 </w:instrText>
          </w:r>
          <w:r>
            <w:rPr>
              <w:bCs/>
              <w:szCs w:val="24"/>
              <w:highlight w:val="none"/>
              <w:lang w:val="zh-CN"/>
            </w:rPr>
            <w:fldChar w:fldCharType="separate"/>
          </w:r>
          <w:r>
            <w:rPr>
              <w:rFonts w:hint="eastAsia"/>
            </w:rPr>
            <w:t xml:space="preserve">1.2.3. </w:t>
          </w:r>
          <w:r>
            <w:rPr>
              <w:rFonts w:hint="eastAsia"/>
              <w:highlight w:val="none"/>
            </w:rPr>
            <w:t>技术</w:t>
          </w:r>
          <w:r>
            <w:rPr>
              <w:highlight w:val="none"/>
            </w:rPr>
            <w:t>标准与规范</w:t>
          </w:r>
          <w:r>
            <w:tab/>
          </w:r>
          <w:r>
            <w:fldChar w:fldCharType="begin"/>
          </w:r>
          <w:r>
            <w:instrText xml:space="preserve"> PAGEREF _Toc32088 \h </w:instrText>
          </w:r>
          <w:r>
            <w:fldChar w:fldCharType="separate"/>
          </w:r>
          <w:r>
            <w:t>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_Toc2383 </w:instrText>
          </w:r>
          <w:r>
            <w:rPr>
              <w:bCs/>
              <w:szCs w:val="24"/>
              <w:highlight w:val="none"/>
              <w:lang w:val="zh-CN"/>
            </w:rPr>
            <w:fldChar w:fldCharType="separate"/>
          </w:r>
          <w:r>
            <w:rPr>
              <w:rFonts w:hint="eastAsia"/>
            </w:rPr>
            <w:t xml:space="preserve">1.2.4. </w:t>
          </w:r>
          <w:r>
            <w:rPr>
              <w:rFonts w:hint="eastAsia"/>
              <w:highlight w:val="none"/>
            </w:rPr>
            <w:t>相关</w:t>
          </w:r>
          <w:r>
            <w:rPr>
              <w:highlight w:val="none"/>
            </w:rPr>
            <w:t>规划</w:t>
          </w:r>
          <w:r>
            <w:tab/>
          </w:r>
          <w:r>
            <w:fldChar w:fldCharType="begin"/>
          </w:r>
          <w:r>
            <w:instrText xml:space="preserve"> PAGEREF _Toc2383 \h </w:instrText>
          </w:r>
          <w:r>
            <w:fldChar w:fldCharType="separate"/>
          </w:r>
          <w:r>
            <w:t>7</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_Toc1464 </w:instrText>
          </w:r>
          <w:r>
            <w:rPr>
              <w:bCs/>
              <w:szCs w:val="24"/>
              <w:highlight w:val="none"/>
              <w:lang w:val="zh-CN"/>
            </w:rPr>
            <w:fldChar w:fldCharType="separate"/>
          </w:r>
          <w:r>
            <w:rPr>
              <w:rFonts w:hint="eastAsia"/>
            </w:rPr>
            <w:t xml:space="preserve">1.3. </w:t>
          </w:r>
          <w:r>
            <w:rPr>
              <w:rFonts w:hint="eastAsia"/>
              <w:highlight w:val="none"/>
            </w:rPr>
            <w:t>评估</w:t>
          </w:r>
          <w:r>
            <w:rPr>
              <w:highlight w:val="none"/>
            </w:rPr>
            <w:t>内容</w:t>
          </w:r>
          <w:r>
            <w:rPr>
              <w:rFonts w:hint="eastAsia"/>
              <w:highlight w:val="none"/>
            </w:rPr>
            <w:t>和</w:t>
          </w:r>
          <w:r>
            <w:rPr>
              <w:highlight w:val="none"/>
            </w:rPr>
            <w:t>重点、期限</w:t>
          </w:r>
          <w:r>
            <w:tab/>
          </w:r>
          <w:r>
            <w:fldChar w:fldCharType="begin"/>
          </w:r>
          <w:r>
            <w:instrText xml:space="preserve"> PAGEREF _Toc1464 \h </w:instrText>
          </w:r>
          <w:r>
            <w:fldChar w:fldCharType="separate"/>
          </w:r>
          <w:r>
            <w:t>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_Toc32572 </w:instrText>
          </w:r>
          <w:r>
            <w:rPr>
              <w:bCs/>
              <w:szCs w:val="24"/>
              <w:highlight w:val="none"/>
              <w:lang w:val="zh-CN"/>
            </w:rPr>
            <w:fldChar w:fldCharType="separate"/>
          </w:r>
          <w:r>
            <w:rPr>
              <w:rFonts w:hint="eastAsia"/>
            </w:rPr>
            <w:t xml:space="preserve">1.3.1. </w:t>
          </w:r>
          <w:r>
            <w:rPr>
              <w:rFonts w:hint="eastAsia"/>
              <w:highlight w:val="none"/>
            </w:rPr>
            <w:t>评估</w:t>
          </w:r>
          <w:r>
            <w:rPr>
              <w:highlight w:val="none"/>
            </w:rPr>
            <w:t>对象</w:t>
          </w:r>
          <w:r>
            <w:tab/>
          </w:r>
          <w:r>
            <w:fldChar w:fldCharType="begin"/>
          </w:r>
          <w:r>
            <w:instrText xml:space="preserve"> PAGEREF _Toc32572 \h </w:instrText>
          </w:r>
          <w:r>
            <w:fldChar w:fldCharType="separate"/>
          </w:r>
          <w:r>
            <w:t>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_Toc5987 </w:instrText>
          </w:r>
          <w:r>
            <w:rPr>
              <w:bCs/>
              <w:szCs w:val="24"/>
              <w:highlight w:val="none"/>
              <w:lang w:val="zh-CN"/>
            </w:rPr>
            <w:fldChar w:fldCharType="separate"/>
          </w:r>
          <w:r>
            <w:rPr>
              <w:rFonts w:hint="eastAsia"/>
            </w:rPr>
            <w:t xml:space="preserve">1.3.2. </w:t>
          </w:r>
          <w:r>
            <w:rPr>
              <w:rFonts w:hint="eastAsia"/>
              <w:highlight w:val="none"/>
            </w:rPr>
            <w:t>评估内容</w:t>
          </w:r>
          <w:r>
            <w:rPr>
              <w:highlight w:val="none"/>
            </w:rPr>
            <w:t>和重点</w:t>
          </w:r>
          <w:r>
            <w:tab/>
          </w:r>
          <w:r>
            <w:fldChar w:fldCharType="begin"/>
          </w:r>
          <w:r>
            <w:instrText xml:space="preserve"> PAGEREF _Toc5987 \h </w:instrText>
          </w:r>
          <w:r>
            <w:fldChar w:fldCharType="separate"/>
          </w:r>
          <w:r>
            <w:t>8</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_Toc3593 </w:instrText>
          </w:r>
          <w:r>
            <w:rPr>
              <w:bCs/>
              <w:szCs w:val="24"/>
              <w:highlight w:val="none"/>
              <w:lang w:val="zh-CN"/>
            </w:rPr>
            <w:fldChar w:fldCharType="separate"/>
          </w:r>
          <w:r>
            <w:rPr>
              <w:rFonts w:hint="eastAsia"/>
            </w:rPr>
            <w:t xml:space="preserve">1.3.3. </w:t>
          </w:r>
          <w:r>
            <w:rPr>
              <w:rFonts w:hint="eastAsia"/>
              <w:highlight w:val="none"/>
            </w:rPr>
            <w:t>评估</w:t>
          </w:r>
          <w:r>
            <w:rPr>
              <w:highlight w:val="none"/>
            </w:rPr>
            <w:t>期限</w:t>
          </w:r>
          <w:r>
            <w:tab/>
          </w:r>
          <w:r>
            <w:fldChar w:fldCharType="begin"/>
          </w:r>
          <w:r>
            <w:instrText xml:space="preserve"> PAGEREF _Toc3593 \h </w:instrText>
          </w:r>
          <w:r>
            <w:fldChar w:fldCharType="separate"/>
          </w:r>
          <w:r>
            <w:t>9</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_Toc17716 </w:instrText>
          </w:r>
          <w:r>
            <w:rPr>
              <w:bCs/>
              <w:szCs w:val="24"/>
              <w:highlight w:val="none"/>
              <w:lang w:val="zh-CN"/>
            </w:rPr>
            <w:fldChar w:fldCharType="separate"/>
          </w:r>
          <w:r>
            <w:rPr>
              <w:rFonts w:hint="eastAsia"/>
            </w:rPr>
            <w:t xml:space="preserve">1.4. </w:t>
          </w:r>
          <w:r>
            <w:rPr>
              <w:rFonts w:hint="eastAsia"/>
              <w:highlight w:val="none"/>
            </w:rPr>
            <w:t>评估</w:t>
          </w:r>
          <w:r>
            <w:rPr>
              <w:highlight w:val="none"/>
            </w:rPr>
            <w:t>原则和目的</w:t>
          </w:r>
          <w:r>
            <w:tab/>
          </w:r>
          <w:r>
            <w:fldChar w:fldCharType="begin"/>
          </w:r>
          <w:r>
            <w:instrText xml:space="preserve"> PAGEREF _Toc17716 \h </w:instrText>
          </w:r>
          <w:r>
            <w:fldChar w:fldCharType="separate"/>
          </w:r>
          <w:r>
            <w:t>9</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_Toc1291 </w:instrText>
          </w:r>
          <w:r>
            <w:rPr>
              <w:bCs/>
              <w:szCs w:val="24"/>
              <w:highlight w:val="none"/>
              <w:lang w:val="zh-CN"/>
            </w:rPr>
            <w:fldChar w:fldCharType="separate"/>
          </w:r>
          <w:r>
            <w:rPr>
              <w:rFonts w:hint="eastAsia"/>
            </w:rPr>
            <w:t xml:space="preserve">1.4.1. </w:t>
          </w:r>
          <w:r>
            <w:rPr>
              <w:rFonts w:hint="eastAsia"/>
              <w:highlight w:val="none"/>
            </w:rPr>
            <w:t>评估</w:t>
          </w:r>
          <w:r>
            <w:rPr>
              <w:highlight w:val="none"/>
            </w:rPr>
            <w:t>原则</w:t>
          </w:r>
          <w:r>
            <w:tab/>
          </w:r>
          <w:r>
            <w:fldChar w:fldCharType="begin"/>
          </w:r>
          <w:r>
            <w:instrText xml:space="preserve"> PAGEREF _Toc1291 \h </w:instrText>
          </w:r>
          <w:r>
            <w:fldChar w:fldCharType="separate"/>
          </w:r>
          <w:r>
            <w:t>9</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_Toc12660 </w:instrText>
          </w:r>
          <w:r>
            <w:rPr>
              <w:bCs/>
              <w:szCs w:val="24"/>
              <w:highlight w:val="none"/>
              <w:lang w:val="zh-CN"/>
            </w:rPr>
            <w:fldChar w:fldCharType="separate"/>
          </w:r>
          <w:r>
            <w:rPr>
              <w:rFonts w:hint="eastAsia"/>
            </w:rPr>
            <w:t xml:space="preserve">1.4.2. </w:t>
          </w:r>
          <w:r>
            <w:rPr>
              <w:rFonts w:hint="eastAsia"/>
              <w:highlight w:val="none"/>
            </w:rPr>
            <w:t>评估</w:t>
          </w:r>
          <w:r>
            <w:rPr>
              <w:highlight w:val="none"/>
            </w:rPr>
            <w:t>目的</w:t>
          </w:r>
          <w:r>
            <w:tab/>
          </w:r>
          <w:r>
            <w:fldChar w:fldCharType="begin"/>
          </w:r>
          <w:r>
            <w:instrText xml:space="preserve"> PAGEREF _Toc12660 \h </w:instrText>
          </w:r>
          <w:r>
            <w:fldChar w:fldCharType="separate"/>
          </w:r>
          <w:r>
            <w:t>9</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_Toc21664 </w:instrText>
          </w:r>
          <w:r>
            <w:rPr>
              <w:bCs/>
              <w:szCs w:val="24"/>
              <w:highlight w:val="none"/>
              <w:lang w:val="zh-CN"/>
            </w:rPr>
            <w:fldChar w:fldCharType="separate"/>
          </w:r>
          <w:r>
            <w:rPr>
              <w:rFonts w:hint="eastAsia"/>
            </w:rPr>
            <w:t xml:space="preserve">第二章 </w:t>
          </w:r>
          <w:r>
            <w:rPr>
              <w:rFonts w:hint="eastAsia"/>
              <w:highlight w:val="none"/>
            </w:rPr>
            <w:t>区域</w:t>
          </w:r>
          <w:r>
            <w:rPr>
              <w:highlight w:val="none"/>
            </w:rPr>
            <w:t>产业现状</w:t>
          </w:r>
          <w:r>
            <w:rPr>
              <w:rFonts w:hint="eastAsia"/>
              <w:highlight w:val="none"/>
            </w:rPr>
            <w:t>及</w:t>
          </w:r>
          <w:r>
            <w:rPr>
              <w:highlight w:val="none"/>
            </w:rPr>
            <w:t>发展规划</w:t>
          </w:r>
          <w:r>
            <w:tab/>
          </w:r>
          <w:r>
            <w:fldChar w:fldCharType="begin"/>
          </w:r>
          <w:r>
            <w:instrText xml:space="preserve"> PAGEREF _Toc21664 \h </w:instrText>
          </w:r>
          <w:r>
            <w:fldChar w:fldCharType="separate"/>
          </w:r>
          <w:r>
            <w:t>11</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_Toc27988 </w:instrText>
          </w:r>
          <w:r>
            <w:rPr>
              <w:bCs/>
              <w:szCs w:val="24"/>
              <w:highlight w:val="none"/>
              <w:lang w:val="zh-CN"/>
            </w:rPr>
            <w:fldChar w:fldCharType="separate"/>
          </w:r>
          <w:r>
            <w:rPr>
              <w:rFonts w:hint="eastAsia"/>
            </w:rPr>
            <w:t xml:space="preserve">2.1. </w:t>
          </w:r>
          <w:r>
            <w:rPr>
              <w:rFonts w:hint="eastAsia"/>
              <w:highlight w:val="none"/>
            </w:rPr>
            <w:t>区域产业发展现状</w:t>
          </w:r>
          <w:r>
            <w:tab/>
          </w:r>
          <w:r>
            <w:fldChar w:fldCharType="begin"/>
          </w:r>
          <w:r>
            <w:instrText xml:space="preserve"> PAGEREF _Toc27988 \h </w:instrText>
          </w:r>
          <w:r>
            <w:fldChar w:fldCharType="separate"/>
          </w:r>
          <w:r>
            <w:t>11</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_Toc27201 </w:instrText>
          </w:r>
          <w:r>
            <w:rPr>
              <w:bCs/>
              <w:szCs w:val="24"/>
              <w:highlight w:val="none"/>
              <w:lang w:val="zh-CN"/>
            </w:rPr>
            <w:fldChar w:fldCharType="separate"/>
          </w:r>
          <w:r>
            <w:rPr>
              <w:rFonts w:hint="eastAsia"/>
            </w:rPr>
            <w:t xml:space="preserve">2.2. </w:t>
          </w:r>
          <w:r>
            <w:rPr>
              <w:rFonts w:hint="eastAsia"/>
              <w:highlight w:val="none"/>
            </w:rPr>
            <w:t>区域产业发展规划</w:t>
          </w:r>
          <w:r>
            <w:tab/>
          </w:r>
          <w:r>
            <w:fldChar w:fldCharType="begin"/>
          </w:r>
          <w:r>
            <w:instrText xml:space="preserve"> PAGEREF _Toc27201 \h </w:instrText>
          </w:r>
          <w:r>
            <w:fldChar w:fldCharType="separate"/>
          </w:r>
          <w:r>
            <w:t>12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_Toc30030 </w:instrText>
          </w:r>
          <w:r>
            <w:rPr>
              <w:bCs/>
              <w:szCs w:val="24"/>
              <w:highlight w:val="none"/>
              <w:lang w:val="zh-CN"/>
            </w:rPr>
            <w:fldChar w:fldCharType="separate"/>
          </w:r>
          <w:r>
            <w:rPr>
              <w:rFonts w:hint="eastAsia"/>
              <w:lang w:val="en-US" w:eastAsia="zh-CN"/>
            </w:rPr>
            <w:t xml:space="preserve">2.2.1. </w:t>
          </w:r>
          <w:r>
            <w:rPr>
              <w:rFonts w:hint="eastAsia" w:ascii="Times New Roman" w:hAnsi="Times New Roman" w:eastAsia="宋体" w:cs="Times New Roman"/>
              <w:highlight w:val="none"/>
              <w:lang w:val="en-US" w:eastAsia="zh-CN"/>
            </w:rPr>
            <w:t>发展</w:t>
          </w:r>
          <w:r>
            <w:rPr>
              <w:rFonts w:hint="eastAsia"/>
              <w:szCs w:val="18"/>
              <w:highlight w:val="none"/>
              <w:lang w:val="en-US" w:eastAsia="zh-CN"/>
            </w:rPr>
            <w:t>目标</w:t>
          </w:r>
          <w:r>
            <w:tab/>
          </w:r>
          <w:r>
            <w:fldChar w:fldCharType="begin"/>
          </w:r>
          <w:r>
            <w:instrText xml:space="preserve"> PAGEREF _Toc30030 \h </w:instrText>
          </w:r>
          <w:r>
            <w:fldChar w:fldCharType="separate"/>
          </w:r>
          <w:r>
            <w:t>12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_Toc2521 </w:instrText>
          </w:r>
          <w:r>
            <w:rPr>
              <w:bCs/>
              <w:szCs w:val="24"/>
              <w:highlight w:val="none"/>
              <w:lang w:val="zh-CN"/>
            </w:rPr>
            <w:fldChar w:fldCharType="separate"/>
          </w:r>
          <w:r>
            <w:rPr>
              <w:rFonts w:hint="eastAsia"/>
              <w:szCs w:val="18"/>
              <w:lang w:val="en-US" w:eastAsia="zh-CN"/>
            </w:rPr>
            <w:t xml:space="preserve">2.2.2. </w:t>
          </w:r>
          <w:r>
            <w:rPr>
              <w:rFonts w:hint="eastAsia"/>
              <w:szCs w:val="18"/>
              <w:highlight w:val="none"/>
              <w:lang w:val="en-US" w:eastAsia="zh-CN"/>
            </w:rPr>
            <w:t>重点产业</w:t>
          </w:r>
          <w:r>
            <w:tab/>
          </w:r>
          <w:r>
            <w:fldChar w:fldCharType="begin"/>
          </w:r>
          <w:r>
            <w:instrText xml:space="preserve"> PAGEREF _Toc2521 \h </w:instrText>
          </w:r>
          <w:r>
            <w:fldChar w:fldCharType="separate"/>
          </w:r>
          <w:r>
            <w:t>12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_Toc14741 </w:instrText>
          </w:r>
          <w:r>
            <w:rPr>
              <w:bCs/>
              <w:szCs w:val="24"/>
              <w:highlight w:val="none"/>
              <w:lang w:val="zh-CN"/>
            </w:rPr>
            <w:fldChar w:fldCharType="separate"/>
          </w:r>
          <w:r>
            <w:rPr>
              <w:rFonts w:hint="eastAsia" w:ascii="Times New Roman" w:hAnsi="Times New Roman" w:eastAsia="宋体" w:cs="Times New Roman"/>
              <w:lang w:val="en-US" w:eastAsia="zh-CN"/>
            </w:rPr>
            <w:t xml:space="preserve">2.2.3. </w:t>
          </w:r>
          <w:r>
            <w:rPr>
              <w:rFonts w:hint="eastAsia" w:ascii="Times New Roman" w:hAnsi="Times New Roman" w:eastAsia="宋体" w:cs="Times New Roman"/>
              <w:highlight w:val="none"/>
              <w:lang w:val="en-US" w:eastAsia="zh-CN"/>
            </w:rPr>
            <w:t>产业重点项目</w:t>
          </w:r>
          <w:r>
            <w:tab/>
          </w:r>
          <w:r>
            <w:fldChar w:fldCharType="begin"/>
          </w:r>
          <w:r>
            <w:instrText xml:space="preserve"> PAGEREF _Toc14741 \h </w:instrText>
          </w:r>
          <w:r>
            <w:fldChar w:fldCharType="separate"/>
          </w:r>
          <w:r>
            <w:t>15</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_Toc30456 </w:instrText>
          </w:r>
          <w:r>
            <w:rPr>
              <w:bCs/>
              <w:szCs w:val="24"/>
              <w:highlight w:val="none"/>
              <w:lang w:val="zh-CN"/>
            </w:rPr>
            <w:fldChar w:fldCharType="separate"/>
          </w:r>
          <w:r>
            <w:rPr>
              <w:rFonts w:hint="eastAsia"/>
            </w:rPr>
            <w:t xml:space="preserve">第三章 </w:t>
          </w:r>
          <w:r>
            <w:rPr>
              <w:rFonts w:hint="eastAsia"/>
              <w:highlight w:val="none"/>
            </w:rPr>
            <w:t>区域</w:t>
          </w:r>
          <w:r>
            <w:rPr>
              <w:highlight w:val="none"/>
            </w:rPr>
            <w:t>能源供应现状及发展规划</w:t>
          </w:r>
          <w:r>
            <w:tab/>
          </w:r>
          <w:r>
            <w:fldChar w:fldCharType="begin"/>
          </w:r>
          <w:r>
            <w:instrText xml:space="preserve"> PAGEREF _Toc30456 \h </w:instrText>
          </w:r>
          <w:r>
            <w:fldChar w:fldCharType="separate"/>
          </w:r>
          <w:r>
            <w:t>18</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_Toc23289 </w:instrText>
          </w:r>
          <w:r>
            <w:rPr>
              <w:bCs/>
              <w:szCs w:val="24"/>
              <w:highlight w:val="none"/>
              <w:lang w:val="zh-CN"/>
            </w:rPr>
            <w:fldChar w:fldCharType="separate"/>
          </w:r>
          <w:r>
            <w:rPr>
              <w:rFonts w:hint="eastAsia"/>
            </w:rPr>
            <w:t xml:space="preserve">3.1. </w:t>
          </w:r>
          <w:r>
            <w:rPr>
              <w:rFonts w:hint="eastAsia"/>
              <w:highlight w:val="none"/>
            </w:rPr>
            <w:t>区域</w:t>
          </w:r>
          <w:r>
            <w:rPr>
              <w:highlight w:val="none"/>
            </w:rPr>
            <w:t>能源</w:t>
          </w:r>
          <w:r>
            <w:rPr>
              <w:rFonts w:hint="eastAsia"/>
              <w:highlight w:val="none"/>
            </w:rPr>
            <w:t>供应</w:t>
          </w:r>
          <w:r>
            <w:rPr>
              <w:highlight w:val="none"/>
            </w:rPr>
            <w:t>和使用情况</w:t>
          </w:r>
          <w:r>
            <w:tab/>
          </w:r>
          <w:r>
            <w:fldChar w:fldCharType="begin"/>
          </w:r>
          <w:r>
            <w:instrText xml:space="preserve"> PAGEREF _Toc23289 \h </w:instrText>
          </w:r>
          <w:r>
            <w:fldChar w:fldCharType="separate"/>
          </w:r>
          <w:r>
            <w:t>18</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_Toc5291 </w:instrText>
          </w:r>
          <w:r>
            <w:rPr>
              <w:bCs/>
              <w:szCs w:val="24"/>
              <w:highlight w:val="none"/>
              <w:lang w:val="zh-CN"/>
            </w:rPr>
            <w:fldChar w:fldCharType="separate"/>
          </w:r>
          <w:r>
            <w:rPr>
              <w:rFonts w:hint="eastAsia"/>
            </w:rPr>
            <w:t xml:space="preserve">3.1.1. </w:t>
          </w:r>
          <w:r>
            <w:rPr>
              <w:rFonts w:hint="eastAsia"/>
              <w:highlight w:val="none"/>
            </w:rPr>
            <w:t>电力供应状况</w:t>
          </w:r>
          <w:r>
            <w:tab/>
          </w:r>
          <w:r>
            <w:fldChar w:fldCharType="begin"/>
          </w:r>
          <w:r>
            <w:instrText xml:space="preserve"> PAGEREF _Toc5291 \h </w:instrText>
          </w:r>
          <w:r>
            <w:fldChar w:fldCharType="separate"/>
          </w:r>
          <w:r>
            <w:t>18</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_Toc18405 </w:instrText>
          </w:r>
          <w:r>
            <w:rPr>
              <w:bCs/>
              <w:szCs w:val="24"/>
              <w:highlight w:val="none"/>
              <w:lang w:val="zh-CN"/>
            </w:rPr>
            <w:fldChar w:fldCharType="separate"/>
          </w:r>
          <w:r>
            <w:rPr>
              <w:rFonts w:hint="eastAsia"/>
            </w:rPr>
            <w:t xml:space="preserve">3.1.2. </w:t>
          </w:r>
          <w:r>
            <w:rPr>
              <w:rFonts w:hint="eastAsia"/>
              <w:highlight w:val="none"/>
            </w:rPr>
            <w:t>天然气供应状况</w:t>
          </w:r>
          <w:r>
            <w:tab/>
          </w:r>
          <w:r>
            <w:fldChar w:fldCharType="begin"/>
          </w:r>
          <w:r>
            <w:instrText xml:space="preserve"> PAGEREF _Toc18405 \h </w:instrText>
          </w:r>
          <w:r>
            <w:fldChar w:fldCharType="separate"/>
          </w:r>
          <w:r>
            <w:t>19</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_Toc6392 </w:instrText>
          </w:r>
          <w:r>
            <w:rPr>
              <w:bCs/>
              <w:szCs w:val="24"/>
              <w:highlight w:val="none"/>
              <w:lang w:val="zh-CN"/>
            </w:rPr>
            <w:fldChar w:fldCharType="separate"/>
          </w:r>
          <w:r>
            <w:rPr>
              <w:rFonts w:hint="eastAsia"/>
            </w:rPr>
            <w:t xml:space="preserve">3.1.3. </w:t>
          </w:r>
          <w:r>
            <w:rPr>
              <w:rFonts w:hint="eastAsia"/>
              <w:highlight w:val="none"/>
            </w:rPr>
            <w:t>自来水及</w:t>
          </w:r>
          <w:r>
            <w:rPr>
              <w:highlight w:val="none"/>
            </w:rPr>
            <w:t>工业水供应情况</w:t>
          </w:r>
          <w:r>
            <w:tab/>
          </w:r>
          <w:r>
            <w:fldChar w:fldCharType="begin"/>
          </w:r>
          <w:r>
            <w:instrText xml:space="preserve"> PAGEREF _Toc6392 \h </w:instrText>
          </w:r>
          <w:r>
            <w:fldChar w:fldCharType="separate"/>
          </w:r>
          <w:r>
            <w:t>19</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_Toc616 </w:instrText>
          </w:r>
          <w:r>
            <w:rPr>
              <w:bCs/>
              <w:szCs w:val="24"/>
              <w:highlight w:val="none"/>
              <w:lang w:val="zh-CN"/>
            </w:rPr>
            <w:fldChar w:fldCharType="separate"/>
          </w:r>
          <w:r>
            <w:rPr>
              <w:rFonts w:hint="eastAsia"/>
            </w:rPr>
            <w:t xml:space="preserve">3.1.4. </w:t>
          </w:r>
          <w:r>
            <w:rPr>
              <w:rFonts w:hint="eastAsia"/>
              <w:highlight w:val="none"/>
            </w:rPr>
            <w:t>热力供应情况</w:t>
          </w:r>
          <w:r>
            <w:tab/>
          </w:r>
          <w:r>
            <w:fldChar w:fldCharType="begin"/>
          </w:r>
          <w:r>
            <w:instrText xml:space="preserve"> PAGEREF _Toc616 \h </w:instrText>
          </w:r>
          <w:r>
            <w:fldChar w:fldCharType="separate"/>
          </w:r>
          <w:r>
            <w:t>20</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_Toc6480 </w:instrText>
          </w:r>
          <w:r>
            <w:rPr>
              <w:bCs/>
              <w:szCs w:val="24"/>
              <w:highlight w:val="none"/>
              <w:lang w:val="zh-CN"/>
            </w:rPr>
            <w:fldChar w:fldCharType="separate"/>
          </w:r>
          <w:r>
            <w:rPr>
              <w:rFonts w:hint="eastAsia"/>
            </w:rPr>
            <w:t xml:space="preserve">3.2. </w:t>
          </w:r>
          <w:r>
            <w:rPr>
              <w:rFonts w:hint="eastAsia"/>
              <w:highlight w:val="none"/>
            </w:rPr>
            <w:t>区域</w:t>
          </w:r>
          <w:r>
            <w:rPr>
              <w:highlight w:val="none"/>
            </w:rPr>
            <w:t>能源发展规划</w:t>
          </w:r>
          <w:r>
            <w:tab/>
          </w:r>
          <w:r>
            <w:fldChar w:fldCharType="begin"/>
          </w:r>
          <w:r>
            <w:instrText xml:space="preserve"> PAGEREF _Toc6480 \h </w:instrText>
          </w:r>
          <w:r>
            <w:fldChar w:fldCharType="separate"/>
          </w:r>
          <w:r>
            <w:t>21</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_Toc24419 </w:instrText>
          </w:r>
          <w:r>
            <w:rPr>
              <w:bCs/>
              <w:szCs w:val="24"/>
              <w:highlight w:val="none"/>
              <w:lang w:val="zh-CN"/>
            </w:rPr>
            <w:fldChar w:fldCharType="separate"/>
          </w:r>
          <w:r>
            <w:rPr>
              <w:rFonts w:hint="eastAsia"/>
            </w:rPr>
            <w:t xml:space="preserve">3.2.1. </w:t>
          </w:r>
          <w:r>
            <w:rPr>
              <w:rFonts w:hint="eastAsia"/>
              <w:highlight w:val="none"/>
            </w:rPr>
            <w:t>电力发展</w:t>
          </w:r>
          <w:r>
            <w:rPr>
              <w:highlight w:val="none"/>
            </w:rPr>
            <w:t>规划</w:t>
          </w:r>
          <w:r>
            <w:tab/>
          </w:r>
          <w:r>
            <w:fldChar w:fldCharType="begin"/>
          </w:r>
          <w:r>
            <w:instrText xml:space="preserve"> PAGEREF _Toc24419 \h </w:instrText>
          </w:r>
          <w:r>
            <w:fldChar w:fldCharType="separate"/>
          </w:r>
          <w:r>
            <w:t>21</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_Toc8051 </w:instrText>
          </w:r>
          <w:r>
            <w:rPr>
              <w:bCs/>
              <w:szCs w:val="24"/>
              <w:highlight w:val="none"/>
              <w:lang w:val="zh-CN"/>
            </w:rPr>
            <w:fldChar w:fldCharType="separate"/>
          </w:r>
          <w:r>
            <w:rPr>
              <w:rFonts w:hint="eastAsia"/>
            </w:rPr>
            <w:t xml:space="preserve">3.2.2. </w:t>
          </w:r>
          <w:r>
            <w:rPr>
              <w:rFonts w:hint="eastAsia"/>
              <w:highlight w:val="none"/>
            </w:rPr>
            <w:t>天然气发展</w:t>
          </w:r>
          <w:r>
            <w:rPr>
              <w:highlight w:val="none"/>
            </w:rPr>
            <w:t>规划</w:t>
          </w:r>
          <w:r>
            <w:tab/>
          </w:r>
          <w:r>
            <w:fldChar w:fldCharType="begin"/>
          </w:r>
          <w:r>
            <w:instrText xml:space="preserve"> PAGEREF _Toc8051 \h </w:instrText>
          </w:r>
          <w:r>
            <w:fldChar w:fldCharType="separate"/>
          </w:r>
          <w:r>
            <w:t>21</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_Toc20568 </w:instrText>
          </w:r>
          <w:r>
            <w:rPr>
              <w:bCs/>
              <w:szCs w:val="24"/>
              <w:highlight w:val="none"/>
              <w:lang w:val="zh-CN"/>
            </w:rPr>
            <w:fldChar w:fldCharType="separate"/>
          </w:r>
          <w:r>
            <w:rPr>
              <w:rFonts w:hint="eastAsia"/>
            </w:rPr>
            <w:t xml:space="preserve">3.2.3. </w:t>
          </w:r>
          <w:r>
            <w:rPr>
              <w:rFonts w:hint="eastAsia"/>
              <w:highlight w:val="none"/>
            </w:rPr>
            <w:t>自来水及</w:t>
          </w:r>
          <w:r>
            <w:rPr>
              <w:highlight w:val="none"/>
            </w:rPr>
            <w:t>工业水</w:t>
          </w:r>
          <w:r>
            <w:rPr>
              <w:rFonts w:hint="eastAsia"/>
              <w:highlight w:val="none"/>
            </w:rPr>
            <w:t>发展</w:t>
          </w:r>
          <w:r>
            <w:rPr>
              <w:highlight w:val="none"/>
            </w:rPr>
            <w:t>规划</w:t>
          </w:r>
          <w:r>
            <w:tab/>
          </w:r>
          <w:r>
            <w:fldChar w:fldCharType="begin"/>
          </w:r>
          <w:r>
            <w:instrText xml:space="preserve"> PAGEREF _Toc20568 \h </w:instrText>
          </w:r>
          <w:r>
            <w:fldChar w:fldCharType="separate"/>
          </w:r>
          <w:r>
            <w:t>22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_Toc12956 </w:instrText>
          </w:r>
          <w:r>
            <w:rPr>
              <w:bCs/>
              <w:szCs w:val="24"/>
              <w:highlight w:val="none"/>
              <w:lang w:val="zh-CN"/>
            </w:rPr>
            <w:fldChar w:fldCharType="separate"/>
          </w:r>
          <w:r>
            <w:rPr>
              <w:rFonts w:hint="eastAsia"/>
            </w:rPr>
            <w:t xml:space="preserve">3.2.4. </w:t>
          </w:r>
          <w:r>
            <w:rPr>
              <w:rFonts w:hint="eastAsia"/>
              <w:highlight w:val="none"/>
            </w:rPr>
            <w:t>热力发展</w:t>
          </w:r>
          <w:r>
            <w:rPr>
              <w:highlight w:val="none"/>
            </w:rPr>
            <w:t>规划</w:t>
          </w:r>
          <w:r>
            <w:tab/>
          </w:r>
          <w:r>
            <w:fldChar w:fldCharType="begin"/>
          </w:r>
          <w:r>
            <w:instrText xml:space="preserve"> PAGEREF _Toc12956 \h </w:instrText>
          </w:r>
          <w:r>
            <w:fldChar w:fldCharType="separate"/>
          </w:r>
          <w:r>
            <w:t>22</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_Toc5223 </w:instrText>
          </w:r>
          <w:r>
            <w:rPr>
              <w:bCs/>
              <w:szCs w:val="24"/>
              <w:highlight w:val="none"/>
              <w:lang w:val="zh-CN"/>
            </w:rPr>
            <w:fldChar w:fldCharType="separate"/>
          </w:r>
          <w:r>
            <w:rPr>
              <w:rFonts w:hint="eastAsia"/>
            </w:rPr>
            <w:t xml:space="preserve">第四章 </w:t>
          </w:r>
          <w:r>
            <w:rPr>
              <w:rFonts w:hint="eastAsia"/>
              <w:highlight w:val="none"/>
            </w:rPr>
            <w:t>区域</w:t>
          </w:r>
          <w:r>
            <w:rPr>
              <w:highlight w:val="none"/>
            </w:rPr>
            <w:t>用能预测及总量控制分析</w:t>
          </w:r>
          <w:r>
            <w:tab/>
          </w:r>
          <w:r>
            <w:fldChar w:fldCharType="begin"/>
          </w:r>
          <w:r>
            <w:instrText xml:space="preserve"> PAGEREF _Toc5223 \h </w:instrText>
          </w:r>
          <w:r>
            <w:fldChar w:fldCharType="separate"/>
          </w:r>
          <w:r>
            <w:t>23</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_Toc24307 </w:instrText>
          </w:r>
          <w:r>
            <w:rPr>
              <w:bCs/>
              <w:szCs w:val="24"/>
              <w:highlight w:val="none"/>
              <w:lang w:val="zh-CN"/>
            </w:rPr>
            <w:fldChar w:fldCharType="separate"/>
          </w:r>
          <w:r>
            <w:rPr>
              <w:rFonts w:hint="eastAsia"/>
            </w:rPr>
            <w:t xml:space="preserve">4.1. </w:t>
          </w:r>
          <w:r>
            <w:rPr>
              <w:rFonts w:hint="eastAsia"/>
              <w:highlight w:val="none"/>
            </w:rPr>
            <w:t>区域能源</w:t>
          </w:r>
          <w:r>
            <w:rPr>
              <w:rFonts w:ascii="黑体" w:hAnsi="黑体"/>
              <w:highlight w:val="none"/>
            </w:rPr>
            <w:t>“</w:t>
          </w:r>
          <w:r>
            <w:rPr>
              <w:rFonts w:hint="eastAsia" w:ascii="黑体" w:hAnsi="黑体"/>
              <w:highlight w:val="none"/>
            </w:rPr>
            <w:t>双控</w:t>
          </w:r>
          <w:r>
            <w:rPr>
              <w:rFonts w:ascii="黑体" w:hAnsi="黑体"/>
              <w:highlight w:val="none"/>
            </w:rPr>
            <w:t>”</w:t>
          </w:r>
          <w:r>
            <w:rPr>
              <w:rFonts w:hint="eastAsia"/>
              <w:highlight w:val="none"/>
            </w:rPr>
            <w:t>目标</w:t>
          </w:r>
          <w:r>
            <w:rPr>
              <w:highlight w:val="none"/>
            </w:rPr>
            <w:t>完成情况</w:t>
          </w:r>
          <w:r>
            <w:tab/>
          </w:r>
          <w:r>
            <w:fldChar w:fldCharType="begin"/>
          </w:r>
          <w:r>
            <w:instrText xml:space="preserve"> PAGEREF _Toc24307 \h </w:instrText>
          </w:r>
          <w:r>
            <w:fldChar w:fldCharType="separate"/>
          </w:r>
          <w:r>
            <w:t>23</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_Toc21115 </w:instrText>
          </w:r>
          <w:r>
            <w:rPr>
              <w:bCs/>
              <w:szCs w:val="24"/>
              <w:highlight w:val="none"/>
              <w:lang w:val="zh-CN"/>
            </w:rPr>
            <w:fldChar w:fldCharType="separate"/>
          </w:r>
          <w:r>
            <w:rPr>
              <w:rFonts w:hint="eastAsia"/>
            </w:rPr>
            <w:t xml:space="preserve">4.2. </w:t>
          </w:r>
          <w:r>
            <w:rPr>
              <w:rFonts w:hint="eastAsia"/>
              <w:highlight w:val="none"/>
            </w:rPr>
            <w:t>区域</w:t>
          </w:r>
          <w:r>
            <w:rPr>
              <w:highlight w:val="none"/>
            </w:rPr>
            <w:t>能源</w:t>
          </w:r>
          <w:r>
            <w:rPr>
              <w:rFonts w:hint="eastAsia"/>
              <w:highlight w:val="none"/>
            </w:rPr>
            <w:t>“</w:t>
          </w:r>
          <w:r>
            <w:rPr>
              <w:highlight w:val="none"/>
            </w:rPr>
            <w:t>双控</w:t>
          </w:r>
          <w:r>
            <w:rPr>
              <w:rFonts w:hint="eastAsia"/>
              <w:highlight w:val="none"/>
            </w:rPr>
            <w:t>”</w:t>
          </w:r>
          <w:r>
            <w:rPr>
              <w:highlight w:val="none"/>
            </w:rPr>
            <w:t>指标确定</w:t>
          </w:r>
          <w:r>
            <w:tab/>
          </w:r>
          <w:r>
            <w:fldChar w:fldCharType="begin"/>
          </w:r>
          <w:r>
            <w:instrText xml:space="preserve"> PAGEREF _Toc21115 \h </w:instrText>
          </w:r>
          <w:r>
            <w:fldChar w:fldCharType="separate"/>
          </w:r>
          <w:r>
            <w:t>24</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_Toc21902 </w:instrText>
          </w:r>
          <w:r>
            <w:rPr>
              <w:bCs/>
              <w:szCs w:val="24"/>
              <w:highlight w:val="none"/>
              <w:lang w:val="zh-CN"/>
            </w:rPr>
            <w:fldChar w:fldCharType="separate"/>
          </w:r>
          <w:r>
            <w:rPr>
              <w:rFonts w:hint="eastAsia"/>
            </w:rPr>
            <w:t xml:space="preserve">第五章 </w:t>
          </w:r>
          <w:r>
            <w:rPr>
              <w:rFonts w:hint="eastAsia"/>
              <w:highlight w:val="none"/>
            </w:rPr>
            <w:t>区域</w:t>
          </w:r>
          <w:r>
            <w:rPr>
              <w:highlight w:val="none"/>
            </w:rPr>
            <w:t>能效指标</w:t>
          </w:r>
          <w:r>
            <w:tab/>
          </w:r>
          <w:r>
            <w:fldChar w:fldCharType="begin"/>
          </w:r>
          <w:r>
            <w:instrText xml:space="preserve"> PAGEREF _Toc21902 \h </w:instrText>
          </w:r>
          <w:r>
            <w:fldChar w:fldCharType="separate"/>
          </w:r>
          <w:r>
            <w:t>25</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_Toc28098 </w:instrText>
          </w:r>
          <w:r>
            <w:rPr>
              <w:bCs/>
              <w:szCs w:val="24"/>
              <w:highlight w:val="none"/>
              <w:lang w:val="zh-CN"/>
            </w:rPr>
            <w:fldChar w:fldCharType="separate"/>
          </w:r>
          <w:r>
            <w:rPr>
              <w:rFonts w:hint="eastAsia"/>
            </w:rPr>
            <w:t xml:space="preserve">5.1. </w:t>
          </w:r>
          <w:r>
            <w:rPr>
              <w:rFonts w:hint="eastAsia"/>
              <w:highlight w:val="none"/>
            </w:rPr>
            <w:t>区域主要行业经济能效指标评价</w:t>
          </w:r>
          <w:r>
            <w:tab/>
          </w:r>
          <w:r>
            <w:fldChar w:fldCharType="begin"/>
          </w:r>
          <w:r>
            <w:instrText xml:space="preserve"> PAGEREF _Toc28098 \h </w:instrText>
          </w:r>
          <w:r>
            <w:fldChar w:fldCharType="separate"/>
          </w:r>
          <w:r>
            <w:t>25</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_Toc20880 </w:instrText>
          </w:r>
          <w:r>
            <w:rPr>
              <w:bCs/>
              <w:szCs w:val="24"/>
              <w:highlight w:val="none"/>
              <w:lang w:val="zh-CN"/>
            </w:rPr>
            <w:fldChar w:fldCharType="separate"/>
          </w:r>
          <w:r>
            <w:rPr>
              <w:rFonts w:hint="eastAsia"/>
            </w:rPr>
            <w:t xml:space="preserve">5.2. </w:t>
          </w:r>
          <w:r>
            <w:rPr>
              <w:rFonts w:hint="eastAsia"/>
              <w:highlight w:val="none"/>
            </w:rPr>
            <w:t>区域主要</w:t>
          </w:r>
          <w:r>
            <w:rPr>
              <w:highlight w:val="none"/>
            </w:rPr>
            <w:t>行业</w:t>
          </w:r>
          <w:r>
            <w:rPr>
              <w:rFonts w:hint="eastAsia"/>
              <w:highlight w:val="none"/>
            </w:rPr>
            <w:t>物理</w:t>
          </w:r>
          <w:r>
            <w:rPr>
              <w:highlight w:val="none"/>
            </w:rPr>
            <w:t>能效指标</w:t>
          </w:r>
          <w:r>
            <w:rPr>
              <w:rFonts w:hint="eastAsia"/>
              <w:highlight w:val="none"/>
            </w:rPr>
            <w:t>评价</w:t>
          </w:r>
          <w:r>
            <w:tab/>
          </w:r>
          <w:r>
            <w:fldChar w:fldCharType="begin"/>
          </w:r>
          <w:r>
            <w:instrText xml:space="preserve"> PAGEREF _Toc20880 \h </w:instrText>
          </w:r>
          <w:r>
            <w:fldChar w:fldCharType="separate"/>
          </w:r>
          <w:r>
            <w:t>37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_Toc11990 </w:instrText>
          </w:r>
          <w:r>
            <w:rPr>
              <w:bCs/>
              <w:szCs w:val="24"/>
              <w:highlight w:val="none"/>
              <w:lang w:val="zh-CN"/>
            </w:rPr>
            <w:fldChar w:fldCharType="separate"/>
          </w:r>
          <w:r>
            <w:rPr>
              <w:rFonts w:hint="eastAsia"/>
            </w:rPr>
            <w:t xml:space="preserve">5.2.1. </w:t>
          </w:r>
          <w:r>
            <w:rPr>
              <w:rFonts w:hint="eastAsia"/>
              <w:highlight w:val="none"/>
            </w:rPr>
            <w:t>玻璃制造</w:t>
          </w:r>
          <w:r>
            <w:tab/>
          </w:r>
          <w:r>
            <w:fldChar w:fldCharType="begin"/>
          </w:r>
          <w:r>
            <w:instrText xml:space="preserve"> PAGEREF _Toc11990 \h </w:instrText>
          </w:r>
          <w:r>
            <w:fldChar w:fldCharType="separate"/>
          </w:r>
          <w:r>
            <w:t>37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_Toc4901 </w:instrText>
          </w:r>
          <w:r>
            <w:rPr>
              <w:bCs/>
              <w:szCs w:val="24"/>
              <w:highlight w:val="none"/>
              <w:lang w:val="zh-CN"/>
            </w:rPr>
            <w:fldChar w:fldCharType="separate"/>
          </w:r>
          <w:r>
            <w:rPr>
              <w:rFonts w:hint="eastAsia"/>
            </w:rPr>
            <w:t xml:space="preserve">5.2.2. </w:t>
          </w:r>
          <w:r>
            <w:rPr>
              <w:rFonts w:hint="eastAsia"/>
              <w:highlight w:val="none"/>
            </w:rPr>
            <w:t>饮料制造</w:t>
          </w:r>
          <w:r>
            <w:tab/>
          </w:r>
          <w:r>
            <w:fldChar w:fldCharType="begin"/>
          </w:r>
          <w:r>
            <w:instrText xml:space="preserve"> PAGEREF _Toc4901 \h </w:instrText>
          </w:r>
          <w:r>
            <w:fldChar w:fldCharType="separate"/>
          </w:r>
          <w:r>
            <w:t>40</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_Toc28487 </w:instrText>
          </w:r>
          <w:r>
            <w:rPr>
              <w:bCs/>
              <w:szCs w:val="24"/>
              <w:highlight w:val="none"/>
              <w:lang w:val="zh-CN"/>
            </w:rPr>
            <w:fldChar w:fldCharType="separate"/>
          </w:r>
          <w:r>
            <w:rPr>
              <w:rFonts w:hint="eastAsia"/>
            </w:rPr>
            <w:t xml:space="preserve">5.2.3. </w:t>
          </w:r>
          <w:r>
            <w:rPr>
              <w:rFonts w:hint="eastAsia"/>
              <w:highlight w:val="none"/>
            </w:rPr>
            <w:t>其它行业</w:t>
          </w:r>
          <w:r>
            <w:tab/>
          </w:r>
          <w:r>
            <w:fldChar w:fldCharType="begin"/>
          </w:r>
          <w:r>
            <w:instrText xml:space="preserve"> PAGEREF _Toc28487 \h </w:instrText>
          </w:r>
          <w:r>
            <w:fldChar w:fldCharType="separate"/>
          </w:r>
          <w:r>
            <w:t>41</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_Toc1894 </w:instrText>
          </w:r>
          <w:r>
            <w:rPr>
              <w:bCs/>
              <w:szCs w:val="24"/>
              <w:highlight w:val="none"/>
              <w:lang w:val="zh-CN"/>
            </w:rPr>
            <w:fldChar w:fldCharType="separate"/>
          </w:r>
          <w:r>
            <w:rPr>
              <w:rFonts w:hint="eastAsia"/>
            </w:rPr>
            <w:t xml:space="preserve">5.3. </w:t>
          </w:r>
          <w:r>
            <w:rPr>
              <w:rFonts w:hint="eastAsia"/>
              <w:highlight w:val="none"/>
            </w:rPr>
            <w:t>区域主要企业用能分析</w:t>
          </w:r>
          <w:r>
            <w:tab/>
          </w:r>
          <w:r>
            <w:fldChar w:fldCharType="begin"/>
          </w:r>
          <w:r>
            <w:instrText xml:space="preserve"> PAGEREF _Toc1894 \h </w:instrText>
          </w:r>
          <w:r>
            <w:fldChar w:fldCharType="separate"/>
          </w:r>
          <w:r>
            <w:t>42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_Toc8807 </w:instrText>
          </w:r>
          <w:r>
            <w:rPr>
              <w:bCs/>
              <w:szCs w:val="24"/>
              <w:highlight w:val="none"/>
              <w:lang w:val="zh-CN"/>
            </w:rPr>
            <w:fldChar w:fldCharType="separate"/>
          </w:r>
          <w:r>
            <w:rPr>
              <w:rFonts w:hint="eastAsia"/>
            </w:rPr>
            <w:t xml:space="preserve">5.3.1. </w:t>
          </w:r>
          <w:r>
            <w:rPr>
              <w:rFonts w:hint="eastAsia"/>
              <w:highlight w:val="none"/>
            </w:rPr>
            <w:t>咸宁南玻玻璃有限公司</w:t>
          </w:r>
          <w:r>
            <w:tab/>
          </w:r>
          <w:r>
            <w:fldChar w:fldCharType="begin"/>
          </w:r>
          <w:r>
            <w:instrText xml:space="preserve"> PAGEREF _Toc8807 \h </w:instrText>
          </w:r>
          <w:r>
            <w:fldChar w:fldCharType="separate"/>
          </w:r>
          <w:r>
            <w:t>43</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_Toc11380 </w:instrText>
          </w:r>
          <w:r>
            <w:rPr>
              <w:bCs/>
              <w:szCs w:val="24"/>
              <w:highlight w:val="none"/>
              <w:lang w:val="zh-CN"/>
            </w:rPr>
            <w:fldChar w:fldCharType="separate"/>
          </w:r>
          <w:r>
            <w:rPr>
              <w:rFonts w:hint="eastAsia"/>
            </w:rPr>
            <w:t xml:space="preserve">5.3.2. </w:t>
          </w:r>
          <w:r>
            <w:rPr>
              <w:rFonts w:hint="eastAsia"/>
              <w:highlight w:val="none"/>
            </w:rPr>
            <w:t>咸宁南玻光电玻璃有限公司</w:t>
          </w:r>
          <w:r>
            <w:tab/>
          </w:r>
          <w:r>
            <w:fldChar w:fldCharType="begin"/>
          </w:r>
          <w:r>
            <w:instrText xml:space="preserve"> PAGEREF _Toc11380 \h </w:instrText>
          </w:r>
          <w:r>
            <w:fldChar w:fldCharType="separate"/>
          </w:r>
          <w:r>
            <w:t>45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_Toc11658 </w:instrText>
          </w:r>
          <w:r>
            <w:rPr>
              <w:bCs/>
              <w:szCs w:val="24"/>
              <w:highlight w:val="none"/>
              <w:lang w:val="zh-CN"/>
            </w:rPr>
            <w:fldChar w:fldCharType="separate"/>
          </w:r>
          <w:r>
            <w:rPr>
              <w:rFonts w:hint="eastAsia"/>
            </w:rPr>
            <w:t xml:space="preserve">5.3.3. </w:t>
          </w:r>
          <w:r>
            <w:rPr>
              <w:rFonts w:hint="eastAsia"/>
              <w:highlight w:val="none"/>
            </w:rPr>
            <w:t>咸宁南玻节能玻璃有限公司</w:t>
          </w:r>
          <w:r>
            <w:tab/>
          </w:r>
          <w:r>
            <w:fldChar w:fldCharType="begin"/>
          </w:r>
          <w:r>
            <w:instrText xml:space="preserve"> PAGEREF _Toc11658 \h </w:instrText>
          </w:r>
          <w:r>
            <w:fldChar w:fldCharType="separate"/>
          </w:r>
          <w:r>
            <w:t>47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_Toc31558 </w:instrText>
          </w:r>
          <w:r>
            <w:rPr>
              <w:bCs/>
              <w:szCs w:val="24"/>
              <w:highlight w:val="none"/>
              <w:lang w:val="zh-CN"/>
            </w:rPr>
            <w:fldChar w:fldCharType="separate"/>
          </w:r>
          <w:r>
            <w:rPr>
              <w:rFonts w:hint="eastAsia"/>
            </w:rPr>
            <w:t xml:space="preserve">5.3.4. </w:t>
          </w:r>
          <w:r>
            <w:rPr>
              <w:rFonts w:hint="eastAsia"/>
              <w:highlight w:val="none"/>
            </w:rPr>
            <w:t>红牛维他命饮料（湖北）有限公司</w:t>
          </w:r>
          <w:r>
            <w:tab/>
          </w:r>
          <w:r>
            <w:fldChar w:fldCharType="begin"/>
          </w:r>
          <w:r>
            <w:instrText xml:space="preserve"> PAGEREF _Toc31558 \h </w:instrText>
          </w:r>
          <w:r>
            <w:fldChar w:fldCharType="separate"/>
          </w:r>
          <w:r>
            <w:t>49</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_Toc21260 </w:instrText>
          </w:r>
          <w:r>
            <w:rPr>
              <w:bCs/>
              <w:szCs w:val="24"/>
              <w:highlight w:val="none"/>
              <w:lang w:val="zh-CN"/>
            </w:rPr>
            <w:fldChar w:fldCharType="separate"/>
          </w:r>
          <w:r>
            <w:rPr>
              <w:rFonts w:hint="eastAsia"/>
            </w:rPr>
            <w:t xml:space="preserve">5.3.5. </w:t>
          </w:r>
          <w:r>
            <w:rPr>
              <w:rFonts w:hint="eastAsia"/>
              <w:highlight w:val="none"/>
            </w:rPr>
            <w:t>湖北奥瑞金饮料工业有限公司</w:t>
          </w:r>
          <w:r>
            <w:tab/>
          </w:r>
          <w:r>
            <w:fldChar w:fldCharType="begin"/>
          </w:r>
          <w:r>
            <w:instrText xml:space="preserve"> PAGEREF _Toc21260 \h </w:instrText>
          </w:r>
          <w:r>
            <w:fldChar w:fldCharType="separate"/>
          </w:r>
          <w:r>
            <w:t>50</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_Toc11513 </w:instrText>
          </w:r>
          <w:r>
            <w:rPr>
              <w:bCs/>
              <w:szCs w:val="24"/>
              <w:highlight w:val="none"/>
              <w:lang w:val="zh-CN"/>
            </w:rPr>
            <w:fldChar w:fldCharType="separate"/>
          </w:r>
          <w:r>
            <w:rPr>
              <w:rFonts w:hint="eastAsia"/>
            </w:rPr>
            <w:t xml:space="preserve">5.3.6. </w:t>
          </w:r>
          <w:r>
            <w:rPr>
              <w:rFonts w:hint="eastAsia"/>
              <w:highlight w:val="none"/>
            </w:rPr>
            <w:t>今麦郎饮品（咸宁）有限公司</w:t>
          </w:r>
          <w:r>
            <w:tab/>
          </w:r>
          <w:r>
            <w:fldChar w:fldCharType="begin"/>
          </w:r>
          <w:r>
            <w:instrText xml:space="preserve"> PAGEREF _Toc11513 \h </w:instrText>
          </w:r>
          <w:r>
            <w:fldChar w:fldCharType="separate"/>
          </w:r>
          <w:r>
            <w:t>51</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_Toc20199 </w:instrText>
          </w:r>
          <w:r>
            <w:rPr>
              <w:bCs/>
              <w:szCs w:val="24"/>
              <w:highlight w:val="none"/>
              <w:lang w:val="zh-CN"/>
            </w:rPr>
            <w:fldChar w:fldCharType="separate"/>
          </w:r>
          <w:r>
            <w:rPr>
              <w:rFonts w:hint="eastAsia"/>
            </w:rPr>
            <w:t xml:space="preserve">5.3.7. </w:t>
          </w:r>
          <w:r>
            <w:rPr>
              <w:rFonts w:hint="eastAsia"/>
              <w:highlight w:val="none"/>
            </w:rPr>
            <w:t>湖北恒丰纸业有限公司</w:t>
          </w:r>
          <w:r>
            <w:tab/>
          </w:r>
          <w:r>
            <w:fldChar w:fldCharType="begin"/>
          </w:r>
          <w:r>
            <w:instrText xml:space="preserve"> PAGEREF _Toc20199 \h </w:instrText>
          </w:r>
          <w:r>
            <w:fldChar w:fldCharType="separate"/>
          </w:r>
          <w:r>
            <w:t>52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_Toc8108 </w:instrText>
          </w:r>
          <w:r>
            <w:rPr>
              <w:bCs/>
              <w:szCs w:val="24"/>
              <w:highlight w:val="none"/>
              <w:lang w:val="zh-CN"/>
            </w:rPr>
            <w:fldChar w:fldCharType="separate"/>
          </w:r>
          <w:r>
            <w:rPr>
              <w:rFonts w:hint="eastAsia"/>
            </w:rPr>
            <w:t xml:space="preserve">5.3.8. </w:t>
          </w:r>
          <w:r>
            <w:rPr>
              <w:rFonts w:hint="eastAsia"/>
              <w:highlight w:val="none"/>
            </w:rPr>
            <w:t>湖北天化麻业股份有限公司</w:t>
          </w:r>
          <w:r>
            <w:tab/>
          </w:r>
          <w:r>
            <w:fldChar w:fldCharType="begin"/>
          </w:r>
          <w:r>
            <w:instrText xml:space="preserve"> PAGEREF _Toc8108 \h </w:instrText>
          </w:r>
          <w:r>
            <w:fldChar w:fldCharType="separate"/>
          </w:r>
          <w:r>
            <w:t>53</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_Toc30880 </w:instrText>
          </w:r>
          <w:r>
            <w:rPr>
              <w:bCs/>
              <w:szCs w:val="24"/>
              <w:highlight w:val="none"/>
              <w:lang w:val="zh-CN"/>
            </w:rPr>
            <w:fldChar w:fldCharType="separate"/>
          </w:r>
          <w:r>
            <w:rPr>
              <w:rFonts w:hint="eastAsia"/>
            </w:rPr>
            <w:t xml:space="preserve">第六章 </w:t>
          </w:r>
          <w:r>
            <w:rPr>
              <w:rFonts w:hint="eastAsia"/>
              <w:highlight w:val="none"/>
            </w:rPr>
            <w:t>区域</w:t>
          </w:r>
          <w:r>
            <w:rPr>
              <w:highlight w:val="none"/>
            </w:rPr>
            <w:t>行业类别界定及负面清单</w:t>
          </w:r>
          <w:r>
            <w:tab/>
          </w:r>
          <w:r>
            <w:fldChar w:fldCharType="begin"/>
          </w:r>
          <w:r>
            <w:instrText xml:space="preserve"> PAGEREF _Toc30880 \h </w:instrText>
          </w:r>
          <w:r>
            <w:fldChar w:fldCharType="separate"/>
          </w:r>
          <w:r>
            <w:t>55</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_Toc32555 </w:instrText>
          </w:r>
          <w:r>
            <w:rPr>
              <w:bCs/>
              <w:szCs w:val="24"/>
              <w:highlight w:val="none"/>
              <w:lang w:val="zh-CN"/>
            </w:rPr>
            <w:fldChar w:fldCharType="separate"/>
          </w:r>
          <w:r>
            <w:rPr>
              <w:rFonts w:hint="eastAsia"/>
            </w:rPr>
            <w:t xml:space="preserve">6.1. </w:t>
          </w:r>
          <w:r>
            <w:rPr>
              <w:rFonts w:hint="eastAsia"/>
              <w:highlight w:val="none"/>
            </w:rPr>
            <w:t>区域内行业类型的划分</w:t>
          </w:r>
          <w:r>
            <w:tab/>
          </w:r>
          <w:r>
            <w:fldChar w:fldCharType="begin"/>
          </w:r>
          <w:r>
            <w:instrText xml:space="preserve"> PAGEREF _Toc32555 \h </w:instrText>
          </w:r>
          <w:r>
            <w:fldChar w:fldCharType="separate"/>
          </w:r>
          <w:r>
            <w:t>55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_Toc7622 </w:instrText>
          </w:r>
          <w:r>
            <w:rPr>
              <w:bCs/>
              <w:szCs w:val="24"/>
              <w:highlight w:val="none"/>
              <w:lang w:val="zh-CN"/>
            </w:rPr>
            <w:fldChar w:fldCharType="separate"/>
          </w:r>
          <w:r>
            <w:rPr>
              <w:rFonts w:hint="eastAsia" w:ascii="Times New Roman" w:hAnsi="Times New Roman" w:eastAsia="宋体" w:cs="Times New Roman"/>
            </w:rPr>
            <w:t xml:space="preserve">6.1.1. </w:t>
          </w:r>
          <w:r>
            <w:rPr>
              <w:rFonts w:hint="default" w:ascii="Times New Roman" w:hAnsi="Times New Roman" w:eastAsia="宋体" w:cs="Times New Roman"/>
              <w:highlight w:val="none"/>
            </w:rPr>
            <w:t>第一产业行业类型的划分</w:t>
          </w:r>
          <w:r>
            <w:tab/>
          </w:r>
          <w:r>
            <w:fldChar w:fldCharType="begin"/>
          </w:r>
          <w:r>
            <w:instrText xml:space="preserve"> PAGEREF _Toc7622 \h </w:instrText>
          </w:r>
          <w:r>
            <w:fldChar w:fldCharType="separate"/>
          </w:r>
          <w:r>
            <w:t>55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_Toc14321 </w:instrText>
          </w:r>
          <w:r>
            <w:rPr>
              <w:bCs/>
              <w:szCs w:val="24"/>
              <w:highlight w:val="none"/>
              <w:lang w:val="zh-CN"/>
            </w:rPr>
            <w:fldChar w:fldCharType="separate"/>
          </w:r>
          <w:r>
            <w:rPr>
              <w:rFonts w:hint="eastAsia" w:ascii="Times New Roman" w:hAnsi="Times New Roman" w:eastAsia="宋体" w:cs="Times New Roman"/>
            </w:rPr>
            <w:t xml:space="preserve">6.1.2. </w:t>
          </w:r>
          <w:r>
            <w:rPr>
              <w:rFonts w:hint="default" w:ascii="Times New Roman" w:hAnsi="Times New Roman" w:eastAsia="宋体" w:cs="Times New Roman"/>
              <w:highlight w:val="none"/>
            </w:rPr>
            <w:t>第二产业行业类型的划分</w:t>
          </w:r>
          <w:r>
            <w:tab/>
          </w:r>
          <w:r>
            <w:fldChar w:fldCharType="begin"/>
          </w:r>
          <w:r>
            <w:instrText xml:space="preserve"> PAGEREF _Toc14321 \h </w:instrText>
          </w:r>
          <w:r>
            <w:fldChar w:fldCharType="separate"/>
          </w:r>
          <w:r>
            <w:t>55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_Toc8551 </w:instrText>
          </w:r>
          <w:r>
            <w:rPr>
              <w:bCs/>
              <w:szCs w:val="24"/>
              <w:highlight w:val="none"/>
              <w:lang w:val="zh-CN"/>
            </w:rPr>
            <w:fldChar w:fldCharType="separate"/>
          </w:r>
          <w:r>
            <w:rPr>
              <w:rFonts w:hint="eastAsia" w:ascii="Times New Roman" w:hAnsi="Times New Roman" w:eastAsia="宋体" w:cs="Times New Roman"/>
            </w:rPr>
            <w:t xml:space="preserve">6.1.3. </w:t>
          </w:r>
          <w:r>
            <w:rPr>
              <w:rFonts w:hint="default" w:ascii="Times New Roman" w:hAnsi="Times New Roman" w:eastAsia="宋体" w:cs="Times New Roman"/>
              <w:highlight w:val="none"/>
            </w:rPr>
            <w:t>第三产业行业类型的划分</w:t>
          </w:r>
          <w:r>
            <w:tab/>
          </w:r>
          <w:r>
            <w:fldChar w:fldCharType="begin"/>
          </w:r>
          <w:r>
            <w:instrText xml:space="preserve"> PAGEREF _Toc8551 \h </w:instrText>
          </w:r>
          <w:r>
            <w:fldChar w:fldCharType="separate"/>
          </w:r>
          <w:r>
            <w:t>56</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_Toc12114 </w:instrText>
          </w:r>
          <w:r>
            <w:rPr>
              <w:bCs/>
              <w:szCs w:val="24"/>
              <w:highlight w:val="none"/>
              <w:lang w:val="zh-CN"/>
            </w:rPr>
            <w:fldChar w:fldCharType="separate"/>
          </w:r>
          <w:r>
            <w:rPr>
              <w:rFonts w:hint="eastAsia"/>
            </w:rPr>
            <w:t xml:space="preserve">6.1.4. </w:t>
          </w:r>
          <w:r>
            <w:rPr>
              <w:rFonts w:hint="eastAsia"/>
              <w:highlight w:val="none"/>
              <w:lang w:val="en-US" w:eastAsia="zh-CN"/>
            </w:rPr>
            <w:t>区域内规模以上企业行类型划分</w:t>
          </w:r>
          <w:r>
            <w:tab/>
          </w:r>
          <w:r>
            <w:fldChar w:fldCharType="begin"/>
          </w:r>
          <w:r>
            <w:instrText xml:space="preserve"> PAGEREF _Toc12114 \h </w:instrText>
          </w:r>
          <w:r>
            <w:fldChar w:fldCharType="separate"/>
          </w:r>
          <w:r>
            <w:t>56</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_Toc4126 </w:instrText>
          </w:r>
          <w:r>
            <w:rPr>
              <w:bCs/>
              <w:szCs w:val="24"/>
              <w:highlight w:val="none"/>
              <w:lang w:val="zh-CN"/>
            </w:rPr>
            <w:fldChar w:fldCharType="separate"/>
          </w:r>
          <w:r>
            <w:rPr>
              <w:rFonts w:hint="eastAsia"/>
            </w:rPr>
            <w:t xml:space="preserve">6.2. </w:t>
          </w:r>
          <w:r>
            <w:rPr>
              <w:rFonts w:hint="default"/>
              <w:highlight w:val="none"/>
            </w:rPr>
            <w:t>区</w:t>
          </w:r>
          <w:r>
            <w:rPr>
              <w:rFonts w:hint="eastAsia"/>
              <w:highlight w:val="none"/>
            </w:rPr>
            <w:t>域内高耗能行业现状</w:t>
          </w:r>
          <w:r>
            <w:tab/>
          </w:r>
          <w:r>
            <w:fldChar w:fldCharType="begin"/>
          </w:r>
          <w:r>
            <w:instrText xml:space="preserve"> PAGEREF _Toc4126 \h </w:instrText>
          </w:r>
          <w:r>
            <w:fldChar w:fldCharType="separate"/>
          </w:r>
          <w:r>
            <w:t>65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_Toc20930 </w:instrText>
          </w:r>
          <w:r>
            <w:rPr>
              <w:bCs/>
              <w:szCs w:val="24"/>
              <w:highlight w:val="none"/>
              <w:lang w:val="zh-CN"/>
            </w:rPr>
            <w:fldChar w:fldCharType="separate"/>
          </w:r>
          <w:r>
            <w:rPr>
              <w:rFonts w:hint="eastAsia"/>
            </w:rPr>
            <w:t xml:space="preserve">6.2.1. </w:t>
          </w:r>
          <w:r>
            <w:rPr>
              <w:rFonts w:hint="eastAsia"/>
              <w:highlight w:val="none"/>
            </w:rPr>
            <w:t>非金属矿物制品业</w:t>
          </w:r>
          <w:r>
            <w:tab/>
          </w:r>
          <w:r>
            <w:fldChar w:fldCharType="begin"/>
          </w:r>
          <w:r>
            <w:instrText xml:space="preserve"> PAGEREF _Toc20930 \h </w:instrText>
          </w:r>
          <w:r>
            <w:fldChar w:fldCharType="separate"/>
          </w:r>
          <w:r>
            <w:t>65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_Toc5548 </w:instrText>
          </w:r>
          <w:r>
            <w:rPr>
              <w:bCs/>
              <w:szCs w:val="24"/>
              <w:highlight w:val="none"/>
              <w:lang w:val="zh-CN"/>
            </w:rPr>
            <w:fldChar w:fldCharType="separate"/>
          </w:r>
          <w:r>
            <w:rPr>
              <w:rFonts w:hint="eastAsia"/>
            </w:rPr>
            <w:t xml:space="preserve">6.2.2. </w:t>
          </w:r>
          <w:r>
            <w:rPr>
              <w:rFonts w:hint="eastAsia"/>
              <w:highlight w:val="none"/>
            </w:rPr>
            <w:t>酒、饮料和精制茶制造业</w:t>
          </w:r>
          <w:r>
            <w:tab/>
          </w:r>
          <w:r>
            <w:fldChar w:fldCharType="begin"/>
          </w:r>
          <w:r>
            <w:instrText xml:space="preserve"> PAGEREF _Toc5548 \h </w:instrText>
          </w:r>
          <w:r>
            <w:fldChar w:fldCharType="separate"/>
          </w:r>
          <w:r>
            <w:t>66</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_Toc20635 </w:instrText>
          </w:r>
          <w:r>
            <w:rPr>
              <w:bCs/>
              <w:szCs w:val="24"/>
              <w:highlight w:val="none"/>
              <w:lang w:val="zh-CN"/>
            </w:rPr>
            <w:fldChar w:fldCharType="separate"/>
          </w:r>
          <w:r>
            <w:rPr>
              <w:rFonts w:hint="eastAsia"/>
            </w:rPr>
            <w:t xml:space="preserve">6.2.3. </w:t>
          </w:r>
          <w:r>
            <w:rPr>
              <w:rFonts w:hint="eastAsia"/>
              <w:highlight w:val="none"/>
            </w:rPr>
            <w:t>纺织业</w:t>
          </w:r>
          <w:r>
            <w:tab/>
          </w:r>
          <w:r>
            <w:fldChar w:fldCharType="begin"/>
          </w:r>
          <w:r>
            <w:instrText xml:space="preserve"> PAGEREF _Toc20635 \h </w:instrText>
          </w:r>
          <w:r>
            <w:fldChar w:fldCharType="separate"/>
          </w:r>
          <w:r>
            <w:t>67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_Toc26680 </w:instrText>
          </w:r>
          <w:r>
            <w:rPr>
              <w:bCs/>
              <w:szCs w:val="24"/>
              <w:highlight w:val="none"/>
              <w:lang w:val="zh-CN"/>
            </w:rPr>
            <w:fldChar w:fldCharType="separate"/>
          </w:r>
          <w:r>
            <w:rPr>
              <w:rFonts w:hint="eastAsia"/>
            </w:rPr>
            <w:t xml:space="preserve">6.2.4. </w:t>
          </w:r>
          <w:r>
            <w:rPr>
              <w:rFonts w:hint="eastAsia"/>
              <w:highlight w:val="none"/>
            </w:rPr>
            <w:t>金属制品业</w:t>
          </w:r>
          <w:r>
            <w:tab/>
          </w:r>
          <w:r>
            <w:fldChar w:fldCharType="begin"/>
          </w:r>
          <w:r>
            <w:instrText xml:space="preserve"> PAGEREF _Toc26680 \h </w:instrText>
          </w:r>
          <w:r>
            <w:fldChar w:fldCharType="separate"/>
          </w:r>
          <w:r>
            <w:t>67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_Toc29393 </w:instrText>
          </w:r>
          <w:r>
            <w:rPr>
              <w:bCs/>
              <w:szCs w:val="24"/>
              <w:highlight w:val="none"/>
              <w:lang w:val="zh-CN"/>
            </w:rPr>
            <w:fldChar w:fldCharType="separate"/>
          </w:r>
          <w:r>
            <w:rPr>
              <w:rFonts w:hint="eastAsia"/>
            </w:rPr>
            <w:t xml:space="preserve">6.2.5. </w:t>
          </w:r>
          <w:r>
            <w:rPr>
              <w:rFonts w:hint="eastAsia"/>
              <w:highlight w:val="none"/>
            </w:rPr>
            <w:t>医药制造业</w:t>
          </w:r>
          <w:r>
            <w:tab/>
          </w:r>
          <w:r>
            <w:fldChar w:fldCharType="begin"/>
          </w:r>
          <w:r>
            <w:instrText xml:space="preserve"> PAGEREF _Toc29393 \h </w:instrText>
          </w:r>
          <w:r>
            <w:fldChar w:fldCharType="separate"/>
          </w:r>
          <w:r>
            <w:t>68</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_Toc7848 </w:instrText>
          </w:r>
          <w:r>
            <w:rPr>
              <w:bCs/>
              <w:szCs w:val="24"/>
              <w:highlight w:val="none"/>
              <w:lang w:val="zh-CN"/>
            </w:rPr>
            <w:fldChar w:fldCharType="separate"/>
          </w:r>
          <w:r>
            <w:rPr>
              <w:rFonts w:hint="eastAsia"/>
            </w:rPr>
            <w:t xml:space="preserve">6.2.6. </w:t>
          </w:r>
          <w:r>
            <w:rPr>
              <w:rFonts w:hint="eastAsia"/>
              <w:highlight w:val="none"/>
            </w:rPr>
            <w:t>造纸和纸制品业</w:t>
          </w:r>
          <w:r>
            <w:tab/>
          </w:r>
          <w:r>
            <w:fldChar w:fldCharType="begin"/>
          </w:r>
          <w:r>
            <w:instrText xml:space="preserve"> PAGEREF _Toc7848 \h </w:instrText>
          </w:r>
          <w:r>
            <w:fldChar w:fldCharType="separate"/>
          </w:r>
          <w:r>
            <w:t>69</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_Toc14444 </w:instrText>
          </w:r>
          <w:r>
            <w:rPr>
              <w:bCs/>
              <w:szCs w:val="24"/>
              <w:highlight w:val="none"/>
              <w:lang w:val="zh-CN"/>
            </w:rPr>
            <w:fldChar w:fldCharType="separate"/>
          </w:r>
          <w:r>
            <w:rPr>
              <w:rFonts w:hint="eastAsia"/>
            </w:rPr>
            <w:t xml:space="preserve">6.3. </w:t>
          </w:r>
          <w:r>
            <w:rPr>
              <w:rFonts w:hint="default"/>
              <w:highlight w:val="none"/>
            </w:rPr>
            <w:t>区域</w:t>
          </w:r>
          <w:r>
            <w:rPr>
              <w:rFonts w:hint="eastAsia"/>
              <w:highlight w:val="none"/>
            </w:rPr>
            <w:t>内负面清单的评价界定</w:t>
          </w:r>
          <w:r>
            <w:tab/>
          </w:r>
          <w:r>
            <w:fldChar w:fldCharType="begin"/>
          </w:r>
          <w:r>
            <w:instrText xml:space="preserve"> PAGEREF _Toc14444 \h </w:instrText>
          </w:r>
          <w:r>
            <w:fldChar w:fldCharType="separate"/>
          </w:r>
          <w:r>
            <w:t>69</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_Toc21174 </w:instrText>
          </w:r>
          <w:r>
            <w:rPr>
              <w:bCs/>
              <w:szCs w:val="24"/>
              <w:highlight w:val="none"/>
              <w:lang w:val="zh-CN"/>
            </w:rPr>
            <w:fldChar w:fldCharType="separate"/>
          </w:r>
          <w:r>
            <w:rPr>
              <w:rFonts w:hint="eastAsia"/>
            </w:rPr>
            <w:t xml:space="preserve">6.4. </w:t>
          </w:r>
          <w:r>
            <w:rPr>
              <w:rFonts w:hint="default"/>
              <w:highlight w:val="none"/>
            </w:rPr>
            <w:t>区域</w:t>
          </w:r>
          <w:r>
            <w:rPr>
              <w:rFonts w:hint="eastAsia"/>
              <w:highlight w:val="none"/>
            </w:rPr>
            <w:t>内负面清单信息汇总</w:t>
          </w:r>
          <w:r>
            <w:tab/>
          </w:r>
          <w:r>
            <w:fldChar w:fldCharType="begin"/>
          </w:r>
          <w:r>
            <w:instrText xml:space="preserve"> PAGEREF _Toc21174 \h </w:instrText>
          </w:r>
          <w:r>
            <w:fldChar w:fldCharType="separate"/>
          </w:r>
          <w:r>
            <w:t>70</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_Toc20170 </w:instrText>
          </w:r>
          <w:r>
            <w:rPr>
              <w:bCs/>
              <w:szCs w:val="24"/>
              <w:highlight w:val="none"/>
              <w:lang w:val="zh-CN"/>
            </w:rPr>
            <w:fldChar w:fldCharType="separate"/>
          </w:r>
          <w:r>
            <w:rPr>
              <w:rFonts w:hint="eastAsia"/>
            </w:rPr>
            <w:t xml:space="preserve">6.5. </w:t>
          </w:r>
          <w:r>
            <w:rPr>
              <w:rFonts w:hint="eastAsia"/>
              <w:highlight w:val="none"/>
            </w:rPr>
            <w:t>区域内主要行业单位产品能效控制指标汇总</w:t>
          </w:r>
          <w:r>
            <w:tab/>
          </w:r>
          <w:r>
            <w:fldChar w:fldCharType="begin"/>
          </w:r>
          <w:r>
            <w:instrText xml:space="preserve"> PAGEREF _Toc20170 \h </w:instrText>
          </w:r>
          <w:r>
            <w:fldChar w:fldCharType="separate"/>
          </w:r>
          <w:r>
            <w:t>71</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_Toc13478 </w:instrText>
          </w:r>
          <w:r>
            <w:rPr>
              <w:bCs/>
              <w:szCs w:val="24"/>
              <w:highlight w:val="none"/>
              <w:lang w:val="zh-CN"/>
            </w:rPr>
            <w:fldChar w:fldCharType="separate"/>
          </w:r>
          <w:r>
            <w:rPr>
              <w:rFonts w:hint="eastAsia"/>
            </w:rPr>
            <w:t xml:space="preserve">第七章 </w:t>
          </w:r>
          <w:r>
            <w:rPr>
              <w:rFonts w:hint="eastAsia"/>
              <w:highlight w:val="none"/>
            </w:rPr>
            <w:t>区域</w:t>
          </w:r>
          <w:r>
            <w:rPr>
              <w:highlight w:val="none"/>
            </w:rPr>
            <w:t>节能措施</w:t>
          </w:r>
          <w:r>
            <w:tab/>
          </w:r>
          <w:r>
            <w:fldChar w:fldCharType="begin"/>
          </w:r>
          <w:r>
            <w:instrText xml:space="preserve"> PAGEREF _Toc13478 \h </w:instrText>
          </w:r>
          <w:r>
            <w:fldChar w:fldCharType="separate"/>
          </w:r>
          <w:r>
            <w:t>107</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_Toc1013 </w:instrText>
          </w:r>
          <w:r>
            <w:rPr>
              <w:bCs/>
              <w:szCs w:val="24"/>
              <w:highlight w:val="none"/>
              <w:lang w:val="zh-CN"/>
            </w:rPr>
            <w:fldChar w:fldCharType="separate"/>
          </w:r>
          <w:r>
            <w:rPr>
              <w:rFonts w:hint="eastAsia"/>
            </w:rPr>
            <w:t xml:space="preserve">7.1. </w:t>
          </w:r>
          <w:r>
            <w:rPr>
              <w:rFonts w:hint="eastAsia"/>
              <w:highlight w:val="none"/>
            </w:rPr>
            <w:t>区域</w:t>
          </w:r>
          <w:r>
            <w:rPr>
              <w:highlight w:val="none"/>
            </w:rPr>
            <w:t>节能技术措施</w:t>
          </w:r>
          <w:r>
            <w:tab/>
          </w:r>
          <w:r>
            <w:fldChar w:fldCharType="begin"/>
          </w:r>
          <w:r>
            <w:instrText xml:space="preserve"> PAGEREF _Toc1013 \h </w:instrText>
          </w:r>
          <w:r>
            <w:fldChar w:fldCharType="separate"/>
          </w:r>
          <w:r>
            <w:t>107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_Toc9683 </w:instrText>
          </w:r>
          <w:r>
            <w:rPr>
              <w:bCs/>
              <w:szCs w:val="24"/>
              <w:highlight w:val="none"/>
              <w:lang w:val="zh-CN"/>
            </w:rPr>
            <w:fldChar w:fldCharType="separate"/>
          </w:r>
          <w:r>
            <w:rPr>
              <w:rFonts w:hint="eastAsia"/>
            </w:rPr>
            <w:t xml:space="preserve">7.1.1. </w:t>
          </w:r>
          <w:r>
            <w:rPr>
              <w:rFonts w:hint="eastAsia"/>
              <w:highlight w:val="none"/>
            </w:rPr>
            <w:t>行业</w:t>
          </w:r>
          <w:r>
            <w:rPr>
              <w:highlight w:val="none"/>
            </w:rPr>
            <w:t>节能技术措施</w:t>
          </w:r>
          <w:r>
            <w:tab/>
          </w:r>
          <w:r>
            <w:fldChar w:fldCharType="begin"/>
          </w:r>
          <w:r>
            <w:instrText xml:space="preserve"> PAGEREF _Toc9683 \h </w:instrText>
          </w:r>
          <w:r>
            <w:fldChar w:fldCharType="separate"/>
          </w:r>
          <w:r>
            <w:t>107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_Toc6537 </w:instrText>
          </w:r>
          <w:r>
            <w:rPr>
              <w:bCs/>
              <w:szCs w:val="24"/>
              <w:highlight w:val="none"/>
              <w:lang w:val="zh-CN"/>
            </w:rPr>
            <w:fldChar w:fldCharType="separate"/>
          </w:r>
          <w:r>
            <w:rPr>
              <w:rFonts w:hint="eastAsia"/>
            </w:rPr>
            <w:t xml:space="preserve">7.1.2. </w:t>
          </w:r>
          <w:r>
            <w:rPr>
              <w:rFonts w:hint="eastAsia"/>
              <w:highlight w:val="none"/>
            </w:rPr>
            <w:t>通用</w:t>
          </w:r>
          <w:r>
            <w:rPr>
              <w:highlight w:val="none"/>
            </w:rPr>
            <w:t>节能技术措施</w:t>
          </w:r>
          <w:r>
            <w:tab/>
          </w:r>
          <w:r>
            <w:fldChar w:fldCharType="begin"/>
          </w:r>
          <w:r>
            <w:instrText xml:space="preserve"> PAGEREF _Toc6537 \h </w:instrText>
          </w:r>
          <w:r>
            <w:fldChar w:fldCharType="separate"/>
          </w:r>
          <w:r>
            <w:t>116</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_Toc22629 </w:instrText>
          </w:r>
          <w:r>
            <w:rPr>
              <w:bCs/>
              <w:szCs w:val="24"/>
              <w:highlight w:val="none"/>
              <w:lang w:val="zh-CN"/>
            </w:rPr>
            <w:fldChar w:fldCharType="separate"/>
          </w:r>
          <w:r>
            <w:rPr>
              <w:rFonts w:hint="eastAsia"/>
            </w:rPr>
            <w:t xml:space="preserve">7.2. </w:t>
          </w:r>
          <w:r>
            <w:rPr>
              <w:rFonts w:hint="eastAsia"/>
              <w:highlight w:val="none"/>
            </w:rPr>
            <w:t>区域</w:t>
          </w:r>
          <w:r>
            <w:rPr>
              <w:highlight w:val="none"/>
            </w:rPr>
            <w:t>节能管理措施</w:t>
          </w:r>
          <w:r>
            <w:tab/>
          </w:r>
          <w:r>
            <w:fldChar w:fldCharType="begin"/>
          </w:r>
          <w:r>
            <w:instrText xml:space="preserve"> PAGEREF _Toc22629 \h </w:instrText>
          </w:r>
          <w:r>
            <w:fldChar w:fldCharType="separate"/>
          </w:r>
          <w:r>
            <w:t>124</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_Toc7176 </w:instrText>
          </w:r>
          <w:r>
            <w:rPr>
              <w:bCs/>
              <w:szCs w:val="24"/>
              <w:highlight w:val="none"/>
              <w:lang w:val="zh-CN"/>
            </w:rPr>
            <w:fldChar w:fldCharType="separate"/>
          </w:r>
          <w:r>
            <w:rPr>
              <w:rFonts w:hint="eastAsia"/>
            </w:rPr>
            <w:t xml:space="preserve">7.2.1. </w:t>
          </w:r>
          <w:r>
            <w:rPr>
              <w:rFonts w:hint="eastAsia"/>
              <w:highlight w:val="none"/>
            </w:rPr>
            <w:t>能源管理体系</w:t>
          </w:r>
          <w:r>
            <w:tab/>
          </w:r>
          <w:r>
            <w:fldChar w:fldCharType="begin"/>
          </w:r>
          <w:r>
            <w:instrText xml:space="preserve"> PAGEREF _Toc7176 \h </w:instrText>
          </w:r>
          <w:r>
            <w:fldChar w:fldCharType="separate"/>
          </w:r>
          <w:r>
            <w:t>124</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_Toc9708 </w:instrText>
          </w:r>
          <w:r>
            <w:rPr>
              <w:bCs/>
              <w:szCs w:val="24"/>
              <w:highlight w:val="none"/>
              <w:lang w:val="zh-CN"/>
            </w:rPr>
            <w:fldChar w:fldCharType="separate"/>
          </w:r>
          <w:r>
            <w:rPr>
              <w:rFonts w:hint="eastAsia"/>
            </w:rPr>
            <w:t xml:space="preserve">7.2.2. </w:t>
          </w:r>
          <w:r>
            <w:rPr>
              <w:rFonts w:hint="eastAsia"/>
              <w:highlight w:val="none"/>
            </w:rPr>
            <w:t>信息化能源管理系统</w:t>
          </w:r>
          <w:r>
            <w:tab/>
          </w:r>
          <w:r>
            <w:fldChar w:fldCharType="begin"/>
          </w:r>
          <w:r>
            <w:instrText xml:space="preserve"> PAGEREF _Toc9708 \h </w:instrText>
          </w:r>
          <w:r>
            <w:fldChar w:fldCharType="separate"/>
          </w:r>
          <w:r>
            <w:t>126</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_Toc18826 </w:instrText>
          </w:r>
          <w:r>
            <w:rPr>
              <w:bCs/>
              <w:szCs w:val="24"/>
              <w:highlight w:val="none"/>
              <w:lang w:val="zh-CN"/>
            </w:rPr>
            <w:fldChar w:fldCharType="separate"/>
          </w:r>
          <w:r>
            <w:rPr>
              <w:rFonts w:hint="eastAsia"/>
            </w:rPr>
            <w:t xml:space="preserve">7.2.3. </w:t>
          </w:r>
          <w:r>
            <w:rPr>
              <w:rFonts w:hint="eastAsia"/>
              <w:highlight w:val="none"/>
            </w:rPr>
            <w:t>政府节能监管措施</w:t>
          </w:r>
          <w:r>
            <w:tab/>
          </w:r>
          <w:r>
            <w:fldChar w:fldCharType="begin"/>
          </w:r>
          <w:r>
            <w:instrText xml:space="preserve"> PAGEREF _Toc18826 \h </w:instrText>
          </w:r>
          <w:r>
            <w:fldChar w:fldCharType="separate"/>
          </w:r>
          <w:r>
            <w:t>127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_Toc7102 </w:instrText>
          </w:r>
          <w:r>
            <w:rPr>
              <w:bCs/>
              <w:szCs w:val="24"/>
              <w:highlight w:val="none"/>
              <w:lang w:val="zh-CN"/>
            </w:rPr>
            <w:fldChar w:fldCharType="separate"/>
          </w:r>
          <w:r>
            <w:rPr>
              <w:rFonts w:hint="eastAsia" w:ascii="Times New Roman" w:hAnsi="Times New Roman" w:eastAsia="宋体" w:cs="Times New Roman"/>
            </w:rPr>
            <w:t xml:space="preserve">7.2.4. </w:t>
          </w:r>
          <w:r>
            <w:rPr>
              <w:rFonts w:hint="default" w:ascii="Times New Roman" w:hAnsi="Times New Roman" w:eastAsia="宋体" w:cs="Times New Roman"/>
              <w:highlight w:val="none"/>
            </w:rPr>
            <w:t>推进建筑能效提升</w:t>
          </w:r>
          <w:r>
            <w:tab/>
          </w:r>
          <w:r>
            <w:fldChar w:fldCharType="begin"/>
          </w:r>
          <w:r>
            <w:instrText xml:space="preserve"> PAGEREF _Toc7102 \h </w:instrText>
          </w:r>
          <w:r>
            <w:fldChar w:fldCharType="separate"/>
          </w:r>
          <w:r>
            <w:t>129</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_Toc11050 </w:instrText>
          </w:r>
          <w:r>
            <w:rPr>
              <w:bCs/>
              <w:szCs w:val="24"/>
              <w:highlight w:val="none"/>
              <w:lang w:val="zh-CN"/>
            </w:rPr>
            <w:fldChar w:fldCharType="separate"/>
          </w:r>
          <w:r>
            <w:rPr>
              <w:rFonts w:hint="eastAsia"/>
            </w:rPr>
            <w:t xml:space="preserve">7.3. </w:t>
          </w:r>
          <w:r>
            <w:rPr>
              <w:rFonts w:hint="eastAsia"/>
              <w:highlight w:val="none"/>
            </w:rPr>
            <w:t>区域</w:t>
          </w:r>
          <w:r>
            <w:rPr>
              <w:highlight w:val="none"/>
            </w:rPr>
            <w:t>重点节能工程</w:t>
          </w:r>
          <w:r>
            <w:rPr>
              <w:rFonts w:hint="eastAsia"/>
              <w:highlight w:val="none"/>
            </w:rPr>
            <w:t>与用能结构优化</w:t>
          </w:r>
          <w:r>
            <w:tab/>
          </w:r>
          <w:r>
            <w:fldChar w:fldCharType="begin"/>
          </w:r>
          <w:r>
            <w:instrText xml:space="preserve"> PAGEREF _Toc11050 \h </w:instrText>
          </w:r>
          <w:r>
            <w:fldChar w:fldCharType="separate"/>
          </w:r>
          <w:r>
            <w:t>130</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_Toc29504 </w:instrText>
          </w:r>
          <w:r>
            <w:rPr>
              <w:bCs/>
              <w:szCs w:val="24"/>
              <w:highlight w:val="none"/>
              <w:lang w:val="zh-CN"/>
            </w:rPr>
            <w:fldChar w:fldCharType="separate"/>
          </w:r>
          <w:r>
            <w:rPr>
              <w:rFonts w:hint="eastAsia"/>
            </w:rPr>
            <w:t xml:space="preserve">7.3.1. </w:t>
          </w:r>
          <w:r>
            <w:rPr>
              <w:rFonts w:hint="eastAsia"/>
              <w:highlight w:val="none"/>
            </w:rPr>
            <w:t>热电</w:t>
          </w:r>
          <w:r>
            <w:rPr>
              <w:highlight w:val="none"/>
            </w:rPr>
            <w:t>联</w:t>
          </w:r>
          <w:r>
            <w:rPr>
              <w:rFonts w:hint="eastAsia"/>
              <w:highlight w:val="none"/>
            </w:rPr>
            <w:t>供及热网</w:t>
          </w:r>
          <w:r>
            <w:rPr>
              <w:highlight w:val="none"/>
            </w:rPr>
            <w:t>工程</w:t>
          </w:r>
          <w:r>
            <w:tab/>
          </w:r>
          <w:r>
            <w:fldChar w:fldCharType="begin"/>
          </w:r>
          <w:r>
            <w:instrText xml:space="preserve"> PAGEREF _Toc29504 \h </w:instrText>
          </w:r>
          <w:r>
            <w:fldChar w:fldCharType="separate"/>
          </w:r>
          <w:r>
            <w:t>130</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_Toc24225 </w:instrText>
          </w:r>
          <w:r>
            <w:rPr>
              <w:bCs/>
              <w:szCs w:val="24"/>
              <w:highlight w:val="none"/>
              <w:lang w:val="zh-CN"/>
            </w:rPr>
            <w:fldChar w:fldCharType="separate"/>
          </w:r>
          <w:r>
            <w:rPr>
              <w:rFonts w:hint="eastAsia"/>
            </w:rPr>
            <w:t xml:space="preserve">7.3.2. </w:t>
          </w:r>
          <w:r>
            <w:rPr>
              <w:rFonts w:hint="eastAsia"/>
              <w:highlight w:val="none"/>
            </w:rPr>
            <w:t>分布式光伏和智能微电网工程</w:t>
          </w:r>
          <w:r>
            <w:tab/>
          </w:r>
          <w:r>
            <w:fldChar w:fldCharType="begin"/>
          </w:r>
          <w:r>
            <w:instrText xml:space="preserve"> PAGEREF _Toc24225 \h </w:instrText>
          </w:r>
          <w:r>
            <w:fldChar w:fldCharType="separate"/>
          </w:r>
          <w:r>
            <w:t>131</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_Toc7558 </w:instrText>
          </w:r>
          <w:r>
            <w:rPr>
              <w:bCs/>
              <w:szCs w:val="24"/>
              <w:highlight w:val="none"/>
              <w:lang w:val="zh-CN"/>
            </w:rPr>
            <w:fldChar w:fldCharType="separate"/>
          </w:r>
          <w:r>
            <w:rPr>
              <w:rFonts w:hint="eastAsia"/>
            </w:rPr>
            <w:t xml:space="preserve">第八章 </w:t>
          </w:r>
          <w:r>
            <w:rPr>
              <w:rFonts w:hint="eastAsia"/>
              <w:highlight w:val="none"/>
            </w:rPr>
            <w:t>结论</w:t>
          </w:r>
          <w:r>
            <w:rPr>
              <w:highlight w:val="none"/>
            </w:rPr>
            <w:t>与建议</w:t>
          </w:r>
          <w:r>
            <w:tab/>
          </w:r>
          <w:r>
            <w:fldChar w:fldCharType="begin"/>
          </w:r>
          <w:r>
            <w:instrText xml:space="preserve"> PAGEREF _Toc7558 \h </w:instrText>
          </w:r>
          <w:r>
            <w:fldChar w:fldCharType="separate"/>
          </w:r>
          <w:r>
            <w:t>133</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_Toc14826 </w:instrText>
          </w:r>
          <w:r>
            <w:rPr>
              <w:bCs/>
              <w:szCs w:val="24"/>
              <w:highlight w:val="none"/>
              <w:lang w:val="zh-CN"/>
            </w:rPr>
            <w:fldChar w:fldCharType="separate"/>
          </w:r>
          <w:r>
            <w:rPr>
              <w:rFonts w:hint="eastAsia"/>
            </w:rPr>
            <w:t xml:space="preserve">8.1. </w:t>
          </w:r>
          <w:r>
            <w:rPr>
              <w:rFonts w:hint="eastAsia"/>
              <w:highlight w:val="none"/>
            </w:rPr>
            <w:t>结论</w:t>
          </w:r>
          <w:r>
            <w:tab/>
          </w:r>
          <w:r>
            <w:fldChar w:fldCharType="begin"/>
          </w:r>
          <w:r>
            <w:instrText xml:space="preserve"> PAGEREF _Toc14826 \h </w:instrText>
          </w:r>
          <w:r>
            <w:fldChar w:fldCharType="separate"/>
          </w:r>
          <w:r>
            <w:t>133</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_Toc1268 </w:instrText>
          </w:r>
          <w:r>
            <w:rPr>
              <w:bCs/>
              <w:szCs w:val="24"/>
              <w:highlight w:val="none"/>
              <w:lang w:val="zh-CN"/>
            </w:rPr>
            <w:fldChar w:fldCharType="separate"/>
          </w:r>
          <w:r>
            <w:rPr>
              <w:rFonts w:hint="eastAsia"/>
            </w:rPr>
            <w:t xml:space="preserve">8.2. </w:t>
          </w:r>
          <w:r>
            <w:rPr>
              <w:rFonts w:hint="eastAsia"/>
              <w:highlight w:val="none"/>
            </w:rPr>
            <w:t>建议</w:t>
          </w:r>
          <w:r>
            <w:tab/>
          </w:r>
          <w:r>
            <w:fldChar w:fldCharType="begin"/>
          </w:r>
          <w:r>
            <w:instrText xml:space="preserve"> PAGEREF _Toc1268 \h </w:instrText>
          </w:r>
          <w:r>
            <w:fldChar w:fldCharType="separate"/>
          </w:r>
          <w:r>
            <w:t>134</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_Toc235 </w:instrText>
          </w:r>
          <w:r>
            <w:rPr>
              <w:bCs/>
              <w:szCs w:val="24"/>
              <w:highlight w:val="none"/>
              <w:lang w:val="zh-CN"/>
            </w:rPr>
            <w:fldChar w:fldCharType="separate"/>
          </w:r>
          <w:r>
            <w:rPr>
              <w:rFonts w:hint="eastAsia"/>
              <w:highlight w:val="none"/>
            </w:rPr>
            <w:t>附件一</w:t>
          </w:r>
          <w:r>
            <w:rPr>
              <w:rFonts w:hint="eastAsia"/>
              <w:highlight w:val="none"/>
              <w:lang w:val="en-US" w:eastAsia="zh-CN"/>
            </w:rPr>
            <w:t xml:space="preserve"> </w:t>
          </w:r>
          <w:r>
            <w:rPr>
              <w:rFonts w:hint="eastAsia"/>
              <w:highlight w:val="none"/>
            </w:rPr>
            <w:t>固定资产投资项目节能承诺备案表</w:t>
          </w:r>
          <w:r>
            <w:tab/>
          </w:r>
          <w:r>
            <w:fldChar w:fldCharType="begin"/>
          </w:r>
          <w:r>
            <w:instrText xml:space="preserve"> PAGEREF _Toc235 \h </w:instrText>
          </w:r>
          <w:r>
            <w:fldChar w:fldCharType="separate"/>
          </w:r>
          <w:r>
            <w:t>136</w:t>
          </w:r>
          <w:r>
            <w:fldChar w:fldCharType="end"/>
          </w:r>
          <w:r>
            <w:rPr>
              <w:bCs/>
              <w:color w:val="auto"/>
              <w:szCs w:val="24"/>
              <w:highlight w:val="none"/>
              <w:lang w:val="zh-CN"/>
            </w:rPr>
            <w:fldChar w:fldCharType="end"/>
          </w:r>
        </w:p>
        <w:p>
          <w:pPr>
            <w:tabs>
              <w:tab w:val="right" w:leader="dot" w:pos="8296"/>
            </w:tabs>
            <w:spacing w:afterLines="0" w:line="312" w:lineRule="auto"/>
            <w:ind w:firstLine="482"/>
            <w:rPr>
              <w:color w:val="auto"/>
              <w:highlight w:val="none"/>
            </w:rPr>
          </w:pPr>
          <w:r>
            <w:rPr>
              <w:b/>
              <w:bCs/>
              <w:color w:val="auto"/>
              <w:sz w:val="24"/>
              <w:szCs w:val="24"/>
              <w:highlight w:val="none"/>
              <w:lang w:val="zh-CN"/>
            </w:rPr>
            <w:fldChar w:fldCharType="end"/>
          </w:r>
        </w:p>
      </w:sdtContent>
    </w:sdt>
    <w:p>
      <w:pPr>
        <w:ind w:firstLine="0" w:firstLineChars="0"/>
        <w:rPr>
          <w:color w:val="auto"/>
          <w:highlight w:val="none"/>
        </w:rPr>
      </w:pPr>
    </w:p>
    <w:p>
      <w:pPr>
        <w:ind w:firstLine="560"/>
        <w:rPr>
          <w:color w:val="auto"/>
          <w:highlight w:val="none"/>
        </w:rPr>
      </w:pPr>
    </w:p>
    <w:p>
      <w:pPr>
        <w:ind w:firstLine="560"/>
        <w:rPr>
          <w:color w:val="auto"/>
          <w:highlight w:val="none"/>
        </w:rPr>
        <w:sectPr>
          <w:footerReference r:id="rId10" w:type="default"/>
          <w:pgSz w:w="11906" w:h="16838"/>
          <w:pgMar w:top="1440" w:right="1800" w:bottom="1440" w:left="1800" w:header="850" w:footer="992" w:gutter="0"/>
          <w:pgNumType w:fmt="upperRoman" w:start="1"/>
          <w:cols w:space="425" w:num="1"/>
          <w:docGrid w:type="lines" w:linePitch="381" w:charSpace="0"/>
        </w:sectPr>
      </w:pPr>
    </w:p>
    <w:p>
      <w:pPr>
        <w:pStyle w:val="2"/>
        <w:numPr>
          <w:ilvl w:val="0"/>
          <w:numId w:val="2"/>
        </w:numPr>
        <w:bidi w:val="0"/>
        <w:ind w:left="425" w:hanging="425"/>
        <w:rPr>
          <w:color w:val="auto"/>
          <w:highlight w:val="none"/>
        </w:rPr>
      </w:pPr>
      <w:bookmarkStart w:id="9" w:name="_Toc16763"/>
      <w:r>
        <w:rPr>
          <w:rFonts w:hint="eastAsia"/>
          <w:color w:val="auto"/>
          <w:highlight w:val="none"/>
        </w:rPr>
        <w:t>总论</w:t>
      </w:r>
      <w:bookmarkEnd w:id="9"/>
    </w:p>
    <w:p>
      <w:pPr>
        <w:pStyle w:val="3"/>
        <w:numPr>
          <w:ilvl w:val="1"/>
          <w:numId w:val="3"/>
        </w:numPr>
        <w:ind w:left="567" w:hanging="567"/>
        <w:rPr>
          <w:color w:val="auto"/>
          <w:highlight w:val="none"/>
        </w:rPr>
      </w:pPr>
      <w:bookmarkStart w:id="10" w:name="_Toc11632"/>
      <w:r>
        <w:rPr>
          <w:rFonts w:hint="eastAsia"/>
          <w:color w:val="auto"/>
          <w:highlight w:val="none"/>
        </w:rPr>
        <w:t>区域</w:t>
      </w:r>
      <w:r>
        <w:rPr>
          <w:color w:val="auto"/>
          <w:highlight w:val="none"/>
        </w:rPr>
        <w:t>界定</w:t>
      </w:r>
      <w:bookmarkEnd w:id="10"/>
    </w:p>
    <w:p>
      <w:pPr>
        <w:ind w:firstLine="560"/>
        <w:rPr>
          <w:color w:val="auto"/>
          <w:highlight w:val="none"/>
        </w:rPr>
      </w:pPr>
      <w:r>
        <w:rPr>
          <w:rFonts w:hint="eastAsia"/>
          <w:color w:val="auto"/>
          <w:highlight w:val="none"/>
        </w:rPr>
        <w:t>咸宁国家高新技术产业开发区位于咸宁</w:t>
      </w:r>
      <w:r>
        <w:rPr>
          <w:color w:val="auto"/>
          <w:highlight w:val="none"/>
        </w:rPr>
        <w:t>市北部</w:t>
      </w:r>
      <w:r>
        <w:rPr>
          <w:rFonts w:hint="eastAsia"/>
          <w:color w:val="auto"/>
          <w:highlight w:val="none"/>
          <w:lang w:eastAsia="zh-CN"/>
        </w:rPr>
        <w:t>，前身是成立于2006年7月的咸宁经济开发区，2015年2月经</w:t>
      </w:r>
      <w:r>
        <w:rPr>
          <w:rFonts w:hint="eastAsia"/>
          <w:color w:val="auto"/>
          <w:highlight w:val="none"/>
          <w:lang w:val="en-US" w:eastAsia="zh-CN"/>
        </w:rPr>
        <w:t>湖北</w:t>
      </w:r>
      <w:r>
        <w:rPr>
          <w:rFonts w:hint="eastAsia"/>
          <w:color w:val="auto"/>
          <w:highlight w:val="none"/>
          <w:lang w:eastAsia="zh-CN"/>
        </w:rPr>
        <w:t>省</w:t>
      </w:r>
      <w:r>
        <w:rPr>
          <w:rFonts w:hint="eastAsia"/>
          <w:color w:val="auto"/>
          <w:highlight w:val="none"/>
          <w:lang w:val="en-US" w:eastAsia="zh-CN"/>
        </w:rPr>
        <w:t>人民</w:t>
      </w:r>
      <w:r>
        <w:rPr>
          <w:rFonts w:hint="eastAsia"/>
          <w:color w:val="auto"/>
          <w:highlight w:val="none"/>
          <w:lang w:eastAsia="zh-CN"/>
        </w:rPr>
        <w:t>政府批复更名为咸宁高新技术产业园区，2017年2月经国务院批复晋级为国家高新技术产业开发区。</w:t>
      </w:r>
      <w:r>
        <w:rPr>
          <w:rFonts w:hint="eastAsia"/>
          <w:color w:val="auto"/>
          <w:highlight w:val="none"/>
        </w:rPr>
        <w:t>其区位</w:t>
      </w:r>
      <w:r>
        <w:rPr>
          <w:color w:val="auto"/>
          <w:highlight w:val="none"/>
        </w:rPr>
        <w:t>示意</w:t>
      </w:r>
      <w:r>
        <w:rPr>
          <w:rFonts w:hint="eastAsia"/>
          <w:color w:val="auto"/>
          <w:highlight w:val="none"/>
        </w:rPr>
        <w:t>如</w:t>
      </w:r>
      <w:r>
        <w:rPr>
          <w:color w:val="auto"/>
          <w:highlight w:val="none"/>
        </w:rPr>
        <w:t>下图所示：</w:t>
      </w:r>
    </w:p>
    <w:p>
      <w:pPr>
        <w:keepNext/>
        <w:ind w:firstLine="0" w:firstLineChars="0"/>
        <w:rPr>
          <w:color w:val="auto"/>
          <w:highlight w:val="none"/>
        </w:rPr>
      </w:pPr>
      <w:r>
        <w:rPr>
          <w:color w:val="auto"/>
          <w:highlight w:val="none"/>
        </w:rPr>
        <w:drawing>
          <wp:inline distT="0" distB="0" distL="0" distR="0">
            <wp:extent cx="5274310" cy="53657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stretch>
                      <a:fillRect/>
                    </a:stretch>
                  </pic:blipFill>
                  <pic:spPr>
                    <a:xfrm>
                      <a:off x="0" y="0"/>
                      <a:ext cx="5274310" cy="5365750"/>
                    </a:xfrm>
                    <a:prstGeom prst="rect">
                      <a:avLst/>
                    </a:prstGeom>
                  </pic:spPr>
                </pic:pic>
              </a:graphicData>
            </a:graphic>
          </wp:inline>
        </w:drawing>
      </w:r>
    </w:p>
    <w:p>
      <w:pPr>
        <w:pStyle w:val="9"/>
        <w:rPr>
          <w:color w:val="auto"/>
          <w:highlight w:val="none"/>
        </w:rPr>
      </w:pPr>
      <w:r>
        <w:rPr>
          <w:rFonts w:hint="eastAsia"/>
          <w:color w:val="auto"/>
          <w:highlight w:val="none"/>
        </w:rPr>
        <w:t xml:space="preserve">图1- </w:t>
      </w:r>
      <w:r>
        <w:rPr>
          <w:color w:val="auto"/>
          <w:highlight w:val="none"/>
        </w:rPr>
        <w:fldChar w:fldCharType="begin"/>
      </w:r>
      <w:r>
        <w:rPr>
          <w:color w:val="auto"/>
          <w:highlight w:val="none"/>
        </w:rPr>
        <w:instrText xml:space="preserve"> </w:instrText>
      </w:r>
      <w:r>
        <w:rPr>
          <w:rFonts w:hint="eastAsia"/>
          <w:color w:val="auto"/>
          <w:highlight w:val="none"/>
        </w:rPr>
        <w:instrText xml:space="preserve">SEQ 图1-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咸宁国家高新技术产业开发区区位示意</w:t>
      </w:r>
    </w:p>
    <w:p>
      <w:pPr>
        <w:ind w:firstLine="560"/>
        <w:rPr>
          <w:color w:val="auto"/>
          <w:highlight w:val="none"/>
        </w:rPr>
      </w:pPr>
      <w:r>
        <w:rPr>
          <w:rFonts w:hint="eastAsia"/>
          <w:color w:val="auto"/>
          <w:highlight w:val="none"/>
        </w:rPr>
        <w:t>评价范围界定：咸宁国家高新技术产业开发区</w:t>
      </w:r>
      <w:r>
        <w:rPr>
          <w:rFonts w:hint="eastAsia"/>
          <w:color w:val="auto"/>
          <w:highlight w:val="none"/>
          <w:lang w:val="en-US" w:eastAsia="zh-CN"/>
        </w:rPr>
        <w:t>总用地</w:t>
      </w:r>
      <w:r>
        <w:rPr>
          <w:rFonts w:hint="eastAsia"/>
          <w:color w:val="auto"/>
          <w:highlight w:val="none"/>
        </w:rPr>
        <w:t>面积149</w:t>
      </w:r>
      <w:r>
        <w:rPr>
          <w:color w:val="auto"/>
          <w:highlight w:val="none"/>
        </w:rPr>
        <w:t>.2</w:t>
      </w:r>
      <w:r>
        <w:rPr>
          <w:rFonts w:hint="eastAsia"/>
          <w:color w:val="auto"/>
          <w:highlight w:val="none"/>
          <w:lang w:val="en-US" w:eastAsia="zh-CN"/>
        </w:rPr>
        <w:t>9</w:t>
      </w:r>
      <w:r>
        <w:rPr>
          <w:rFonts w:hint="eastAsia"/>
          <w:color w:val="auto"/>
          <w:highlight w:val="none"/>
        </w:rPr>
        <w:t>平方公里。</w:t>
      </w:r>
    </w:p>
    <w:p>
      <w:pPr>
        <w:ind w:firstLine="560"/>
        <w:rPr>
          <w:color w:val="auto"/>
          <w:highlight w:val="none"/>
        </w:rPr>
      </w:pPr>
      <w:r>
        <w:rPr>
          <w:rFonts w:hint="eastAsia"/>
          <w:color w:val="auto"/>
          <w:highlight w:val="none"/>
        </w:rPr>
        <w:t>目前</w:t>
      </w:r>
      <w:r>
        <w:rPr>
          <w:color w:val="auto"/>
          <w:highlight w:val="none"/>
        </w:rPr>
        <w:t>，</w:t>
      </w:r>
      <w:r>
        <w:rPr>
          <w:rFonts w:hint="eastAsia"/>
          <w:color w:val="auto"/>
          <w:highlight w:val="none"/>
        </w:rPr>
        <w:t>咸宁国家高新技术产业开发区已初步形成“三心四轴、五园一带”的城镇空间布局，具体</w:t>
      </w:r>
      <w:r>
        <w:rPr>
          <w:color w:val="auto"/>
          <w:highlight w:val="none"/>
        </w:rPr>
        <w:t>如下图所示：</w:t>
      </w:r>
    </w:p>
    <w:p>
      <w:pPr>
        <w:keepNext/>
        <w:spacing w:line="240" w:lineRule="auto"/>
        <w:ind w:firstLine="0" w:firstLineChars="0"/>
        <w:jc w:val="center"/>
        <w:rPr>
          <w:color w:val="auto"/>
          <w:highlight w:val="none"/>
        </w:rPr>
      </w:pPr>
      <w:r>
        <w:rPr>
          <w:rFonts w:ascii="宋体" w:hAnsi="宋体" w:eastAsia="宋体" w:cs="宋体"/>
          <w:color w:val="auto"/>
          <w:sz w:val="24"/>
          <w:szCs w:val="24"/>
          <w:highlight w:val="none"/>
        </w:rPr>
        <w:drawing>
          <wp:inline distT="0" distB="0" distL="114300" distR="114300">
            <wp:extent cx="5448300" cy="5162550"/>
            <wp:effectExtent l="0" t="0" r="7620" b="3810"/>
            <wp:docPr id="2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IMG_256"/>
                    <pic:cNvPicPr>
                      <a:picLocks noChangeAspect="1"/>
                    </pic:cNvPicPr>
                  </pic:nvPicPr>
                  <pic:blipFill>
                    <a:blip r:embed="rId17"/>
                    <a:stretch>
                      <a:fillRect/>
                    </a:stretch>
                  </pic:blipFill>
                  <pic:spPr>
                    <a:xfrm>
                      <a:off x="0" y="0"/>
                      <a:ext cx="5448300" cy="5162550"/>
                    </a:xfrm>
                    <a:prstGeom prst="rect">
                      <a:avLst/>
                    </a:prstGeom>
                    <a:noFill/>
                    <a:ln w="9525">
                      <a:noFill/>
                    </a:ln>
                  </pic:spPr>
                </pic:pic>
              </a:graphicData>
            </a:graphic>
          </wp:inline>
        </w:drawing>
      </w:r>
    </w:p>
    <w:p>
      <w:pPr>
        <w:pStyle w:val="9"/>
        <w:rPr>
          <w:color w:val="auto"/>
          <w:highlight w:val="none"/>
        </w:rPr>
      </w:pPr>
      <w:r>
        <w:rPr>
          <w:rFonts w:hint="eastAsia"/>
          <w:color w:val="auto"/>
          <w:highlight w:val="none"/>
        </w:rPr>
        <w:t xml:space="preserve">图1- </w:t>
      </w:r>
      <w:r>
        <w:rPr>
          <w:color w:val="auto"/>
          <w:highlight w:val="none"/>
        </w:rPr>
        <w:fldChar w:fldCharType="begin"/>
      </w:r>
      <w:r>
        <w:rPr>
          <w:color w:val="auto"/>
          <w:highlight w:val="none"/>
        </w:rPr>
        <w:instrText xml:space="preserve"> </w:instrText>
      </w:r>
      <w:r>
        <w:rPr>
          <w:rFonts w:hint="eastAsia"/>
          <w:color w:val="auto"/>
          <w:highlight w:val="none"/>
        </w:rPr>
        <w:instrText xml:space="preserve">SEQ 图1- \* ARABIC</w:instrText>
      </w:r>
      <w:r>
        <w:rPr>
          <w:color w:val="auto"/>
          <w:highlight w:val="none"/>
        </w:rPr>
        <w:instrText xml:space="preserve"> </w:instrText>
      </w:r>
      <w:r>
        <w:rPr>
          <w:color w:val="auto"/>
          <w:highlight w:val="none"/>
        </w:rPr>
        <w:fldChar w:fldCharType="separate"/>
      </w:r>
      <w:r>
        <w:rPr>
          <w:rFonts w:hint="eastAsia"/>
          <w:color w:val="auto"/>
          <w:highlight w:val="none"/>
        </w:rPr>
        <w:t>2</w:t>
      </w:r>
      <w:r>
        <w:rPr>
          <w:color w:val="auto"/>
          <w:highlight w:val="none"/>
        </w:rPr>
        <w:fldChar w:fldCharType="end"/>
      </w:r>
      <w:r>
        <w:rPr>
          <w:color w:val="auto"/>
          <w:highlight w:val="none"/>
        </w:rPr>
        <w:t xml:space="preserve"> </w:t>
      </w:r>
      <w:r>
        <w:rPr>
          <w:rFonts w:hint="eastAsia"/>
          <w:color w:val="auto"/>
          <w:highlight w:val="none"/>
        </w:rPr>
        <w:t>咸宁国家高新技术产业开发区区域</w:t>
      </w:r>
      <w:r>
        <w:rPr>
          <w:color w:val="auto"/>
          <w:highlight w:val="none"/>
        </w:rPr>
        <w:t>界定</w:t>
      </w: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default" w:eastAsia="宋体"/>
          <w:color w:val="auto"/>
          <w:highlight w:val="none"/>
          <w:lang w:val="en-US" w:eastAsia="zh-CN"/>
        </w:rPr>
      </w:pPr>
      <w:r>
        <w:rPr>
          <w:rFonts w:hint="eastAsia"/>
          <w:color w:val="auto"/>
          <w:highlight w:val="none"/>
          <w:lang w:val="en-US" w:eastAsia="zh-CN"/>
        </w:rPr>
        <w:t>咸宁高新区已建成区范围示意图见下图。</w:t>
      </w:r>
    </w:p>
    <w:p>
      <w:pPr>
        <w:ind w:left="0" w:leftChars="0" w:firstLine="0" w:firstLineChars="0"/>
        <w:rPr>
          <w:color w:val="auto"/>
          <w:highlight w:val="none"/>
        </w:rPr>
      </w:pPr>
      <w:r>
        <w:rPr>
          <w:color w:val="auto"/>
          <w:highlight w:val="none"/>
        </w:rPr>
        <w:drawing>
          <wp:inline distT="0" distB="0" distL="114300" distR="114300">
            <wp:extent cx="5271770" cy="4909820"/>
            <wp:effectExtent l="0" t="0" r="508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a:stretch>
                      <a:fillRect/>
                    </a:stretch>
                  </pic:blipFill>
                  <pic:spPr>
                    <a:xfrm>
                      <a:off x="0" y="0"/>
                      <a:ext cx="5271770" cy="4909820"/>
                    </a:xfrm>
                    <a:prstGeom prst="rect">
                      <a:avLst/>
                    </a:prstGeom>
                    <a:noFill/>
                    <a:ln>
                      <a:noFill/>
                    </a:ln>
                  </pic:spPr>
                </pic:pic>
              </a:graphicData>
            </a:graphic>
          </wp:inline>
        </w:drawing>
      </w:r>
    </w:p>
    <w:p>
      <w:pPr>
        <w:ind w:left="0" w:leftChars="0" w:firstLine="0" w:firstLineChars="0"/>
        <w:jc w:val="center"/>
        <w:rPr>
          <w:rFonts w:hint="default" w:eastAsia="宋体"/>
          <w:color w:val="auto"/>
          <w:highlight w:val="none"/>
          <w:lang w:val="en-US" w:eastAsia="zh-CN"/>
        </w:rPr>
      </w:pPr>
      <w:r>
        <w:rPr>
          <w:rFonts w:hint="eastAsia"/>
          <w:color w:val="auto"/>
          <w:highlight w:val="none"/>
        </w:rPr>
        <w:t xml:space="preserve">图1- </w:t>
      </w:r>
      <w:r>
        <w:rPr>
          <w:color w:val="auto"/>
          <w:highlight w:val="none"/>
        </w:rPr>
        <w:fldChar w:fldCharType="begin"/>
      </w:r>
      <w:r>
        <w:rPr>
          <w:color w:val="auto"/>
          <w:highlight w:val="none"/>
        </w:rPr>
        <w:instrText xml:space="preserve"> </w:instrText>
      </w:r>
      <w:r>
        <w:rPr>
          <w:rFonts w:hint="eastAsia"/>
          <w:color w:val="auto"/>
          <w:highlight w:val="none"/>
        </w:rPr>
        <w:instrText xml:space="preserve">SEQ 图1- \* ARABIC</w:instrText>
      </w:r>
      <w:r>
        <w:rPr>
          <w:color w:val="auto"/>
          <w:highlight w:val="none"/>
        </w:rPr>
        <w:instrText xml:space="preserve"> </w:instrText>
      </w:r>
      <w:r>
        <w:rPr>
          <w:color w:val="auto"/>
          <w:highlight w:val="none"/>
        </w:rPr>
        <w:fldChar w:fldCharType="separate"/>
      </w:r>
      <w:r>
        <w:rPr>
          <w:rFonts w:hint="eastAsia"/>
          <w:color w:val="auto"/>
          <w:highlight w:val="none"/>
        </w:rPr>
        <w:t>3</w:t>
      </w:r>
      <w:r>
        <w:rPr>
          <w:color w:val="auto"/>
          <w:highlight w:val="none"/>
        </w:rPr>
        <w:fldChar w:fldCharType="end"/>
      </w:r>
      <w:r>
        <w:rPr>
          <w:color w:val="auto"/>
          <w:highlight w:val="none"/>
        </w:rPr>
        <w:t xml:space="preserve"> </w:t>
      </w:r>
      <w:r>
        <w:rPr>
          <w:rFonts w:hint="eastAsia"/>
          <w:color w:val="auto"/>
          <w:highlight w:val="none"/>
        </w:rPr>
        <w:t>咸宁国家高新技术产业开发区</w:t>
      </w:r>
      <w:r>
        <w:rPr>
          <w:rFonts w:hint="eastAsia"/>
          <w:color w:val="auto"/>
          <w:highlight w:val="none"/>
          <w:lang w:val="en-US" w:eastAsia="zh-CN"/>
        </w:rPr>
        <w:t>已建成区示意图</w:t>
      </w:r>
    </w:p>
    <w:p>
      <w:pPr>
        <w:ind w:firstLine="643"/>
        <w:rPr>
          <w:rFonts w:hint="eastAsia"/>
          <w:color w:val="auto"/>
          <w:highlight w:val="none"/>
        </w:rPr>
      </w:pPr>
      <w:r>
        <w:rPr>
          <w:rFonts w:hint="eastAsia"/>
          <w:color w:val="auto"/>
          <w:highlight w:val="none"/>
        </w:rPr>
        <w:br w:type="page"/>
      </w:r>
    </w:p>
    <w:p>
      <w:pPr>
        <w:pStyle w:val="3"/>
        <w:numPr>
          <w:ilvl w:val="1"/>
          <w:numId w:val="3"/>
        </w:numPr>
        <w:ind w:left="567" w:hanging="567"/>
        <w:rPr>
          <w:color w:val="auto"/>
          <w:highlight w:val="none"/>
        </w:rPr>
      </w:pPr>
      <w:bookmarkStart w:id="11" w:name="_Toc21255"/>
      <w:r>
        <w:rPr>
          <w:rFonts w:hint="eastAsia"/>
          <w:color w:val="auto"/>
          <w:highlight w:val="none"/>
        </w:rPr>
        <w:t>评价</w:t>
      </w:r>
      <w:r>
        <w:rPr>
          <w:color w:val="auto"/>
          <w:highlight w:val="none"/>
        </w:rPr>
        <w:t>依据</w:t>
      </w:r>
      <w:bookmarkEnd w:id="11"/>
    </w:p>
    <w:p>
      <w:pPr>
        <w:pStyle w:val="4"/>
        <w:numPr>
          <w:ilvl w:val="2"/>
          <w:numId w:val="3"/>
        </w:numPr>
        <w:ind w:left="709" w:hanging="709"/>
        <w:rPr>
          <w:color w:val="auto"/>
          <w:highlight w:val="none"/>
        </w:rPr>
      </w:pPr>
      <w:bookmarkStart w:id="12" w:name="_Toc2127"/>
      <w:r>
        <w:rPr>
          <w:rFonts w:hint="eastAsia"/>
          <w:color w:val="auto"/>
          <w:highlight w:val="none"/>
        </w:rPr>
        <w:t>法律法规</w:t>
      </w:r>
      <w:bookmarkEnd w:id="12"/>
    </w:p>
    <w:p>
      <w:pPr>
        <w:pStyle w:val="58"/>
        <w:numPr>
          <w:ilvl w:val="0"/>
          <w:numId w:val="4"/>
        </w:numPr>
        <w:ind w:left="0" w:firstLine="560"/>
        <w:rPr>
          <w:color w:val="auto"/>
          <w:highlight w:val="none"/>
        </w:rPr>
      </w:pPr>
      <w:r>
        <w:rPr>
          <w:rFonts w:hint="eastAsia"/>
          <w:color w:val="auto"/>
          <w:highlight w:val="none"/>
        </w:rPr>
        <w:t>《中华人民共和国节约能源法》（2018年10月26日修正）；</w:t>
      </w:r>
    </w:p>
    <w:p>
      <w:pPr>
        <w:pStyle w:val="58"/>
        <w:numPr>
          <w:ilvl w:val="0"/>
          <w:numId w:val="4"/>
        </w:numPr>
        <w:ind w:left="0" w:firstLine="560"/>
        <w:rPr>
          <w:color w:val="auto"/>
          <w:highlight w:val="none"/>
        </w:rPr>
      </w:pPr>
      <w:r>
        <w:rPr>
          <w:rFonts w:hint="eastAsia"/>
          <w:color w:val="auto"/>
          <w:highlight w:val="none"/>
        </w:rPr>
        <w:t>《中华人民共和国循环经济促进法》（2018年10月26日修正）；</w:t>
      </w:r>
    </w:p>
    <w:p>
      <w:pPr>
        <w:pStyle w:val="58"/>
        <w:numPr>
          <w:ilvl w:val="0"/>
          <w:numId w:val="4"/>
        </w:numPr>
        <w:ind w:left="0" w:firstLine="560"/>
        <w:rPr>
          <w:color w:val="auto"/>
          <w:highlight w:val="none"/>
        </w:rPr>
      </w:pPr>
      <w:r>
        <w:rPr>
          <w:rFonts w:hint="eastAsia"/>
          <w:color w:val="auto"/>
          <w:highlight w:val="none"/>
        </w:rPr>
        <w:t>《中华人民共和国可再生能源法》（2009年12月26日修订，2010年4月1日起施行）；</w:t>
      </w:r>
    </w:p>
    <w:p>
      <w:pPr>
        <w:pStyle w:val="58"/>
        <w:numPr>
          <w:ilvl w:val="0"/>
          <w:numId w:val="4"/>
        </w:numPr>
        <w:ind w:left="0" w:firstLine="560"/>
        <w:rPr>
          <w:color w:val="auto"/>
          <w:highlight w:val="none"/>
        </w:rPr>
      </w:pPr>
      <w:r>
        <w:rPr>
          <w:rFonts w:hint="eastAsia"/>
          <w:color w:val="auto"/>
          <w:highlight w:val="none"/>
        </w:rPr>
        <w:t>《中华人民共和国清洁生产促进法（修订）》（2012年7月1日实施）；</w:t>
      </w:r>
    </w:p>
    <w:p>
      <w:pPr>
        <w:pStyle w:val="4"/>
        <w:numPr>
          <w:ilvl w:val="2"/>
          <w:numId w:val="3"/>
        </w:numPr>
        <w:ind w:left="709" w:hanging="709"/>
        <w:rPr>
          <w:color w:val="auto"/>
          <w:highlight w:val="none"/>
        </w:rPr>
      </w:pPr>
      <w:bookmarkStart w:id="13" w:name="_Toc3836"/>
      <w:r>
        <w:rPr>
          <w:rFonts w:hint="eastAsia"/>
          <w:color w:val="auto"/>
          <w:highlight w:val="none"/>
        </w:rPr>
        <w:t>部门及地方规范性文件</w:t>
      </w:r>
      <w:bookmarkEnd w:id="13"/>
    </w:p>
    <w:p>
      <w:pPr>
        <w:pStyle w:val="58"/>
        <w:numPr>
          <w:ilvl w:val="0"/>
          <w:numId w:val="5"/>
        </w:numPr>
        <w:ind w:left="0" w:firstLine="560"/>
        <w:rPr>
          <w:color w:val="auto"/>
          <w:highlight w:val="none"/>
        </w:rPr>
      </w:pPr>
      <w:r>
        <w:rPr>
          <w:rFonts w:hint="eastAsia"/>
          <w:color w:val="auto"/>
          <w:highlight w:val="none"/>
        </w:rPr>
        <w:t>《工业和信息化部办公厅关于发布全国工业能效指南（2014年版）的通知》（工信厅节〔2014〕222号）；</w:t>
      </w:r>
    </w:p>
    <w:p>
      <w:pPr>
        <w:pStyle w:val="58"/>
        <w:numPr>
          <w:ilvl w:val="0"/>
          <w:numId w:val="5"/>
        </w:numPr>
        <w:ind w:left="0" w:firstLine="560"/>
        <w:rPr>
          <w:color w:val="auto"/>
          <w:highlight w:val="none"/>
        </w:rPr>
      </w:pPr>
      <w:r>
        <w:rPr>
          <w:rFonts w:hint="eastAsia"/>
          <w:color w:val="auto"/>
          <w:highlight w:val="none"/>
        </w:rPr>
        <w:t>国务院关于印发《中国制造2025》的通知（国发〔2015〕28号）；</w:t>
      </w:r>
    </w:p>
    <w:p>
      <w:pPr>
        <w:pStyle w:val="58"/>
        <w:numPr>
          <w:ilvl w:val="0"/>
          <w:numId w:val="5"/>
        </w:numPr>
        <w:ind w:left="0" w:firstLine="560"/>
        <w:rPr>
          <w:color w:val="auto"/>
          <w:highlight w:val="none"/>
        </w:rPr>
      </w:pPr>
      <w:r>
        <w:rPr>
          <w:rFonts w:hint="eastAsia"/>
          <w:color w:val="auto"/>
          <w:highlight w:val="none"/>
        </w:rPr>
        <w:t>《中共中央国务院关于加快推进生态文明建设的意见》（2015年4月25日）；</w:t>
      </w:r>
    </w:p>
    <w:p>
      <w:pPr>
        <w:pStyle w:val="58"/>
        <w:numPr>
          <w:ilvl w:val="0"/>
          <w:numId w:val="5"/>
        </w:numPr>
        <w:ind w:left="0" w:firstLine="560"/>
        <w:rPr>
          <w:color w:val="auto"/>
          <w:highlight w:val="none"/>
        </w:rPr>
      </w:pPr>
      <w:r>
        <w:rPr>
          <w:rFonts w:hint="eastAsia"/>
          <w:color w:val="auto"/>
          <w:highlight w:val="none"/>
        </w:rPr>
        <w:t>《工业节能管理办法》（工信部令〔2016〕33号）；</w:t>
      </w:r>
    </w:p>
    <w:p>
      <w:pPr>
        <w:pStyle w:val="58"/>
        <w:numPr>
          <w:ilvl w:val="0"/>
          <w:numId w:val="5"/>
        </w:numPr>
        <w:ind w:left="0" w:firstLine="560"/>
        <w:rPr>
          <w:color w:val="auto"/>
          <w:highlight w:val="none"/>
        </w:rPr>
      </w:pPr>
      <w:r>
        <w:rPr>
          <w:rFonts w:hint="eastAsia"/>
          <w:color w:val="auto"/>
          <w:highlight w:val="none"/>
        </w:rPr>
        <w:t>《固定资产投资项目节能审查办法》（2023年3月28日国家发展改革委令第2号公布）；</w:t>
      </w:r>
    </w:p>
    <w:p>
      <w:pPr>
        <w:pStyle w:val="58"/>
        <w:numPr>
          <w:ilvl w:val="0"/>
          <w:numId w:val="5"/>
        </w:numPr>
        <w:ind w:left="0" w:firstLine="560"/>
        <w:rPr>
          <w:color w:val="auto"/>
          <w:highlight w:val="none"/>
        </w:rPr>
      </w:pPr>
      <w:r>
        <w:rPr>
          <w:rFonts w:hint="eastAsia"/>
          <w:color w:val="auto"/>
          <w:highlight w:val="none"/>
        </w:rPr>
        <w:t>《国务院办公厅关于全面开展工程建设项目审批制度改革的实施意见》（国办发〔2019〕11号）；</w:t>
      </w:r>
    </w:p>
    <w:p>
      <w:pPr>
        <w:pStyle w:val="58"/>
        <w:numPr>
          <w:ilvl w:val="0"/>
          <w:numId w:val="5"/>
        </w:numPr>
        <w:ind w:left="0" w:firstLine="560"/>
        <w:rPr>
          <w:color w:val="auto"/>
          <w:highlight w:val="none"/>
        </w:rPr>
      </w:pPr>
      <w:r>
        <w:rPr>
          <w:rFonts w:hint="eastAsia"/>
          <w:color w:val="auto"/>
          <w:highlight w:val="none"/>
        </w:rPr>
        <w:t>《湖北省人民政府关于深化“放管服”改革持续推进政府职宋体能转变的实施意见》（鄂政发〔2018〕28号）；</w:t>
      </w:r>
    </w:p>
    <w:p>
      <w:pPr>
        <w:pStyle w:val="58"/>
        <w:numPr>
          <w:ilvl w:val="0"/>
          <w:numId w:val="5"/>
        </w:numPr>
        <w:ind w:left="0" w:firstLine="560"/>
        <w:rPr>
          <w:color w:val="auto"/>
          <w:highlight w:val="none"/>
        </w:rPr>
      </w:pPr>
      <w:r>
        <w:rPr>
          <w:rFonts w:hint="eastAsia"/>
          <w:color w:val="auto"/>
          <w:highlight w:val="none"/>
        </w:rPr>
        <w:t>《省人民政府办公厅关于印发湖北省工程建设项目审批制度改革实施方案的通知》（鄂政办发〔2019〕44号）；</w:t>
      </w:r>
    </w:p>
    <w:p>
      <w:pPr>
        <w:pStyle w:val="58"/>
        <w:numPr>
          <w:ilvl w:val="0"/>
          <w:numId w:val="5"/>
        </w:numPr>
        <w:ind w:left="0" w:firstLine="560"/>
        <w:rPr>
          <w:color w:val="auto"/>
          <w:highlight w:val="none"/>
        </w:rPr>
      </w:pPr>
      <w:r>
        <w:rPr>
          <w:rFonts w:hint="eastAsia"/>
          <w:color w:val="auto"/>
          <w:highlight w:val="none"/>
        </w:rPr>
        <w:t>《省发展改革委关于印发&lt;湖北省县（市、区）区域节能评估实施细则（试行）的通知&gt;》（鄂发改规〔2019〕2号）；</w:t>
      </w:r>
    </w:p>
    <w:p>
      <w:pPr>
        <w:pStyle w:val="58"/>
        <w:numPr>
          <w:ilvl w:val="0"/>
          <w:numId w:val="5"/>
        </w:numPr>
        <w:ind w:left="0" w:firstLine="560"/>
        <w:rPr>
          <w:color w:val="auto"/>
          <w:highlight w:val="none"/>
        </w:rPr>
      </w:pPr>
      <w:r>
        <w:rPr>
          <w:rFonts w:hint="eastAsia"/>
          <w:color w:val="auto"/>
          <w:highlight w:val="none"/>
        </w:rPr>
        <w:t>《省人民政府关于加快推进重大项目建设着力扩大有效投资的若干意见》（鄂政发〔2020〕8号）</w:t>
      </w:r>
      <w:r>
        <w:rPr>
          <w:rFonts w:hint="eastAsia"/>
          <w:color w:val="auto"/>
          <w:highlight w:val="none"/>
          <w:lang w:eastAsia="zh-CN"/>
        </w:rPr>
        <w:t>；</w:t>
      </w:r>
    </w:p>
    <w:p>
      <w:pPr>
        <w:pStyle w:val="58"/>
        <w:numPr>
          <w:ilvl w:val="0"/>
          <w:numId w:val="5"/>
        </w:numPr>
        <w:ind w:left="0" w:firstLine="560"/>
        <w:rPr>
          <w:color w:val="auto"/>
          <w:highlight w:val="none"/>
        </w:rPr>
      </w:pPr>
      <w:r>
        <w:rPr>
          <w:rFonts w:hint="eastAsia"/>
          <w:color w:val="auto"/>
          <w:highlight w:val="none"/>
          <w:lang w:val="en-US" w:eastAsia="zh-CN"/>
        </w:rPr>
        <w:t>《省发改委关于印发湖北省固定资产投资项目节能审查实施办法的通知》（鄂发改规（2023）1号）。</w:t>
      </w:r>
    </w:p>
    <w:p>
      <w:pPr>
        <w:pStyle w:val="4"/>
        <w:numPr>
          <w:ilvl w:val="2"/>
          <w:numId w:val="3"/>
        </w:numPr>
        <w:ind w:left="709" w:hanging="709"/>
        <w:rPr>
          <w:color w:val="auto"/>
          <w:highlight w:val="none"/>
        </w:rPr>
      </w:pPr>
      <w:bookmarkStart w:id="14" w:name="_Toc32088"/>
      <w:r>
        <w:rPr>
          <w:rFonts w:hint="eastAsia"/>
          <w:color w:val="auto"/>
          <w:highlight w:val="none"/>
        </w:rPr>
        <w:t>技术</w:t>
      </w:r>
      <w:r>
        <w:rPr>
          <w:color w:val="auto"/>
          <w:highlight w:val="none"/>
        </w:rPr>
        <w:t>标准与规范</w:t>
      </w:r>
      <w:bookmarkEnd w:id="14"/>
    </w:p>
    <w:p>
      <w:pPr>
        <w:pStyle w:val="58"/>
        <w:numPr>
          <w:ilvl w:val="0"/>
          <w:numId w:val="6"/>
        </w:numPr>
        <w:ind w:left="0" w:firstLine="560"/>
        <w:rPr>
          <w:color w:val="auto"/>
          <w:highlight w:val="none"/>
        </w:rPr>
      </w:pPr>
      <w:r>
        <w:rPr>
          <w:rFonts w:hint="eastAsia"/>
          <w:color w:val="auto"/>
          <w:highlight w:val="none"/>
        </w:rPr>
        <w:t>《用能单位能源计量器具配备和管理通则》（GB17167-2006）；</w:t>
      </w:r>
    </w:p>
    <w:p>
      <w:pPr>
        <w:pStyle w:val="58"/>
        <w:numPr>
          <w:ilvl w:val="0"/>
          <w:numId w:val="6"/>
        </w:numPr>
        <w:ind w:left="0" w:firstLine="560"/>
        <w:rPr>
          <w:color w:val="auto"/>
          <w:highlight w:val="none"/>
        </w:rPr>
      </w:pPr>
      <w:r>
        <w:rPr>
          <w:rFonts w:hint="eastAsia"/>
          <w:color w:val="auto"/>
          <w:highlight w:val="none"/>
        </w:rPr>
        <w:t>《节水型企业评价导则》（GB/T</w:t>
      </w:r>
      <w:r>
        <w:rPr>
          <w:color w:val="auto"/>
          <w:highlight w:val="none"/>
        </w:rPr>
        <w:t xml:space="preserve"> </w:t>
      </w:r>
      <w:r>
        <w:rPr>
          <w:rFonts w:hint="eastAsia"/>
          <w:color w:val="auto"/>
          <w:highlight w:val="none"/>
        </w:rPr>
        <w:t>7119-2018）；</w:t>
      </w:r>
    </w:p>
    <w:p>
      <w:pPr>
        <w:pStyle w:val="58"/>
        <w:numPr>
          <w:ilvl w:val="0"/>
          <w:numId w:val="6"/>
        </w:numPr>
        <w:ind w:left="0" w:firstLine="560"/>
        <w:rPr>
          <w:color w:val="auto"/>
          <w:highlight w:val="none"/>
        </w:rPr>
      </w:pPr>
      <w:r>
        <w:rPr>
          <w:rFonts w:hint="eastAsia"/>
          <w:color w:val="auto"/>
          <w:highlight w:val="none"/>
        </w:rPr>
        <w:t>《用能单位节能量计算方法》（GB/T</w:t>
      </w:r>
      <w:r>
        <w:rPr>
          <w:color w:val="auto"/>
          <w:highlight w:val="none"/>
        </w:rPr>
        <w:t xml:space="preserve"> </w:t>
      </w:r>
      <w:r>
        <w:rPr>
          <w:rFonts w:hint="eastAsia"/>
          <w:color w:val="auto"/>
          <w:highlight w:val="none"/>
        </w:rPr>
        <w:t>13234-2018）；</w:t>
      </w:r>
    </w:p>
    <w:p>
      <w:pPr>
        <w:pStyle w:val="58"/>
        <w:numPr>
          <w:ilvl w:val="0"/>
          <w:numId w:val="6"/>
        </w:numPr>
        <w:ind w:left="0" w:firstLine="560"/>
        <w:rPr>
          <w:color w:val="auto"/>
          <w:highlight w:val="none"/>
        </w:rPr>
      </w:pPr>
      <w:r>
        <w:rPr>
          <w:rFonts w:hint="eastAsia"/>
          <w:color w:val="auto"/>
          <w:highlight w:val="none"/>
        </w:rPr>
        <w:t>《综合能耗计算通则》（GB/T 2589-2020）；</w:t>
      </w:r>
    </w:p>
    <w:p>
      <w:pPr>
        <w:pStyle w:val="58"/>
        <w:numPr>
          <w:ilvl w:val="0"/>
          <w:numId w:val="6"/>
        </w:numPr>
        <w:ind w:left="0" w:firstLine="560"/>
        <w:rPr>
          <w:color w:val="auto"/>
          <w:highlight w:val="none"/>
        </w:rPr>
      </w:pPr>
      <w:r>
        <w:rPr>
          <w:rFonts w:hint="eastAsia"/>
          <w:color w:val="auto"/>
          <w:highlight w:val="none"/>
        </w:rPr>
        <w:t>《工业企业能源管理导则》（GB/T</w:t>
      </w:r>
      <w:r>
        <w:rPr>
          <w:color w:val="auto"/>
          <w:highlight w:val="none"/>
        </w:rPr>
        <w:t xml:space="preserve"> </w:t>
      </w:r>
      <w:r>
        <w:rPr>
          <w:rFonts w:hint="eastAsia"/>
          <w:color w:val="auto"/>
          <w:highlight w:val="none"/>
        </w:rPr>
        <w:t>15587-20</w:t>
      </w:r>
      <w:r>
        <w:rPr>
          <w:rFonts w:hint="eastAsia"/>
          <w:color w:val="auto"/>
          <w:highlight w:val="none"/>
          <w:lang w:val="en-US" w:eastAsia="zh-CN"/>
        </w:rPr>
        <w:t>20</w:t>
      </w:r>
      <w:r>
        <w:rPr>
          <w:rFonts w:hint="eastAsia"/>
          <w:color w:val="auto"/>
          <w:highlight w:val="none"/>
        </w:rPr>
        <w:t>）；</w:t>
      </w:r>
    </w:p>
    <w:p>
      <w:pPr>
        <w:pStyle w:val="58"/>
        <w:numPr>
          <w:ilvl w:val="0"/>
          <w:numId w:val="6"/>
        </w:numPr>
        <w:ind w:left="0" w:firstLine="560"/>
        <w:rPr>
          <w:color w:val="auto"/>
          <w:highlight w:val="none"/>
        </w:rPr>
      </w:pPr>
      <w:r>
        <w:rPr>
          <w:rFonts w:hint="eastAsia"/>
          <w:color w:val="auto"/>
          <w:highlight w:val="none"/>
        </w:rPr>
        <w:t>《能源管理体系 要求及使用指南》（GB/T</w:t>
      </w:r>
      <w:r>
        <w:rPr>
          <w:color w:val="auto"/>
          <w:highlight w:val="none"/>
        </w:rPr>
        <w:t xml:space="preserve"> </w:t>
      </w:r>
      <w:r>
        <w:rPr>
          <w:rFonts w:hint="eastAsia"/>
          <w:color w:val="auto"/>
          <w:highlight w:val="none"/>
        </w:rPr>
        <w:t>23331-2020）；</w:t>
      </w:r>
    </w:p>
    <w:p>
      <w:pPr>
        <w:pStyle w:val="58"/>
        <w:numPr>
          <w:ilvl w:val="0"/>
          <w:numId w:val="6"/>
        </w:numPr>
        <w:ind w:left="0" w:firstLine="560"/>
        <w:rPr>
          <w:color w:val="auto"/>
          <w:highlight w:val="none"/>
        </w:rPr>
      </w:pPr>
      <w:r>
        <w:rPr>
          <w:rFonts w:hint="eastAsia"/>
          <w:color w:val="auto"/>
          <w:highlight w:val="none"/>
        </w:rPr>
        <w:t>《能源管理体系实施指南》（GB/T</w:t>
      </w:r>
      <w:r>
        <w:rPr>
          <w:color w:val="auto"/>
          <w:highlight w:val="none"/>
        </w:rPr>
        <w:t xml:space="preserve"> </w:t>
      </w:r>
      <w:r>
        <w:rPr>
          <w:rFonts w:hint="eastAsia"/>
          <w:color w:val="auto"/>
          <w:highlight w:val="none"/>
        </w:rPr>
        <w:t>29456-2012）；</w:t>
      </w:r>
    </w:p>
    <w:p>
      <w:pPr>
        <w:pStyle w:val="58"/>
        <w:numPr>
          <w:ilvl w:val="0"/>
          <w:numId w:val="6"/>
        </w:numPr>
        <w:ind w:left="0" w:firstLine="560"/>
        <w:rPr>
          <w:color w:val="auto"/>
          <w:highlight w:val="none"/>
        </w:rPr>
      </w:pPr>
      <w:r>
        <w:rPr>
          <w:rFonts w:hint="eastAsia"/>
          <w:color w:val="auto"/>
          <w:highlight w:val="none"/>
        </w:rPr>
        <w:t>《国家工业节能技术应用指南与案例（2022年版）》；</w:t>
      </w:r>
    </w:p>
    <w:p>
      <w:pPr>
        <w:pStyle w:val="58"/>
        <w:numPr>
          <w:ilvl w:val="0"/>
          <w:numId w:val="6"/>
        </w:numPr>
        <w:ind w:left="0" w:firstLine="560"/>
        <w:rPr>
          <w:color w:val="auto"/>
          <w:highlight w:val="none"/>
        </w:rPr>
      </w:pPr>
      <w:r>
        <w:rPr>
          <w:rFonts w:hint="eastAsia"/>
          <w:color w:val="auto"/>
          <w:highlight w:val="none"/>
        </w:rPr>
        <w:t>《上海产业能效指南（20</w:t>
      </w:r>
      <w:r>
        <w:rPr>
          <w:rFonts w:hint="eastAsia"/>
          <w:color w:val="auto"/>
          <w:highlight w:val="none"/>
          <w:lang w:val="en-US" w:eastAsia="zh-CN"/>
        </w:rPr>
        <w:t>21</w:t>
      </w:r>
      <w:r>
        <w:rPr>
          <w:rFonts w:hint="eastAsia"/>
          <w:color w:val="auto"/>
          <w:highlight w:val="none"/>
        </w:rPr>
        <w:t>版）》；</w:t>
      </w:r>
    </w:p>
    <w:p>
      <w:pPr>
        <w:pStyle w:val="58"/>
        <w:numPr>
          <w:ilvl w:val="0"/>
          <w:numId w:val="6"/>
        </w:numPr>
        <w:ind w:left="0" w:firstLine="560"/>
        <w:rPr>
          <w:color w:val="auto"/>
          <w:highlight w:val="none"/>
        </w:rPr>
      </w:pPr>
      <w:r>
        <w:rPr>
          <w:rFonts w:hint="eastAsia"/>
          <w:color w:val="auto"/>
          <w:highlight w:val="none"/>
        </w:rPr>
        <w:t>《全国工业能效指南（2014年版）》；</w:t>
      </w:r>
    </w:p>
    <w:p>
      <w:pPr>
        <w:pStyle w:val="58"/>
        <w:numPr>
          <w:ilvl w:val="0"/>
          <w:numId w:val="6"/>
        </w:numPr>
        <w:ind w:left="0" w:firstLine="560"/>
        <w:rPr>
          <w:color w:val="auto"/>
          <w:highlight w:val="none"/>
        </w:rPr>
      </w:pPr>
      <w:r>
        <w:rPr>
          <w:rFonts w:hint="eastAsia"/>
          <w:color w:val="auto"/>
          <w:highlight w:val="none"/>
        </w:rPr>
        <w:t>《玻璃和铸石单位产品能源消耗限额》（GB 21340-2019）；</w:t>
      </w:r>
    </w:p>
    <w:p>
      <w:pPr>
        <w:pStyle w:val="58"/>
        <w:numPr>
          <w:ilvl w:val="0"/>
          <w:numId w:val="6"/>
        </w:numPr>
        <w:ind w:left="0" w:firstLine="560"/>
        <w:rPr>
          <w:color w:val="auto"/>
          <w:highlight w:val="none"/>
        </w:rPr>
      </w:pPr>
      <w:r>
        <w:rPr>
          <w:rFonts w:hint="eastAsia"/>
          <w:color w:val="auto"/>
          <w:highlight w:val="none"/>
        </w:rPr>
        <w:t>《绿色产品评价建筑玻璃》（GB/T 35604-2017）；</w:t>
      </w:r>
    </w:p>
    <w:p>
      <w:pPr>
        <w:pStyle w:val="58"/>
        <w:numPr>
          <w:ilvl w:val="0"/>
          <w:numId w:val="6"/>
        </w:numPr>
        <w:ind w:left="0" w:firstLine="560"/>
        <w:rPr>
          <w:color w:val="auto"/>
          <w:highlight w:val="none"/>
        </w:rPr>
      </w:pPr>
      <w:r>
        <w:rPr>
          <w:rFonts w:hint="eastAsia"/>
          <w:color w:val="auto"/>
          <w:highlight w:val="none"/>
        </w:rPr>
        <w:t>《预拌混凝土单位产品能源消耗限额》（GB 36888-2018）；</w:t>
      </w:r>
    </w:p>
    <w:p>
      <w:pPr>
        <w:pStyle w:val="58"/>
        <w:numPr>
          <w:ilvl w:val="0"/>
          <w:numId w:val="6"/>
        </w:numPr>
        <w:ind w:left="0" w:firstLine="560"/>
        <w:rPr>
          <w:color w:val="auto"/>
          <w:highlight w:val="none"/>
        </w:rPr>
      </w:pPr>
      <w:r>
        <w:rPr>
          <w:rFonts w:hint="eastAsia"/>
          <w:color w:val="auto"/>
          <w:highlight w:val="none"/>
        </w:rPr>
        <w:t>《饮料制造综合能耗限额》（QBT 4069-2010）；</w:t>
      </w:r>
    </w:p>
    <w:p>
      <w:pPr>
        <w:pStyle w:val="58"/>
        <w:numPr>
          <w:ilvl w:val="0"/>
          <w:numId w:val="6"/>
        </w:numPr>
        <w:ind w:left="0" w:firstLine="560"/>
        <w:rPr>
          <w:color w:val="auto"/>
          <w:highlight w:val="none"/>
        </w:rPr>
      </w:pPr>
      <w:r>
        <w:rPr>
          <w:rFonts w:hint="eastAsia"/>
          <w:color w:val="auto"/>
          <w:highlight w:val="none"/>
        </w:rPr>
        <w:t>《白酒原酒单位产品综合能耗及计算方法》（DB43T 1018-2015）；</w:t>
      </w:r>
    </w:p>
    <w:p>
      <w:pPr>
        <w:pStyle w:val="58"/>
        <w:numPr>
          <w:ilvl w:val="0"/>
          <w:numId w:val="6"/>
        </w:numPr>
        <w:ind w:left="0" w:firstLine="560"/>
        <w:rPr>
          <w:color w:val="auto"/>
          <w:highlight w:val="none"/>
        </w:rPr>
      </w:pPr>
      <w:r>
        <w:rPr>
          <w:rFonts w:hint="eastAsia"/>
          <w:color w:val="auto"/>
          <w:highlight w:val="none"/>
        </w:rPr>
        <w:t>《热电联产单位产品能源消耗限额》（GB 35574-2017）；</w:t>
      </w:r>
    </w:p>
    <w:p>
      <w:pPr>
        <w:pStyle w:val="58"/>
        <w:numPr>
          <w:ilvl w:val="0"/>
          <w:numId w:val="6"/>
        </w:numPr>
        <w:ind w:left="0" w:firstLine="560"/>
        <w:rPr>
          <w:color w:val="auto"/>
          <w:highlight w:val="none"/>
        </w:rPr>
      </w:pPr>
      <w:r>
        <w:rPr>
          <w:rFonts w:hint="eastAsia"/>
          <w:color w:val="auto"/>
          <w:highlight w:val="none"/>
        </w:rPr>
        <w:t>《机械工业工程节能设计规范》（GB 50910-2013）；</w:t>
      </w:r>
    </w:p>
    <w:p>
      <w:pPr>
        <w:pStyle w:val="58"/>
        <w:numPr>
          <w:ilvl w:val="0"/>
          <w:numId w:val="6"/>
        </w:numPr>
        <w:ind w:left="0" w:firstLine="560"/>
        <w:rPr>
          <w:color w:val="auto"/>
          <w:highlight w:val="none"/>
        </w:rPr>
      </w:pPr>
      <w:r>
        <w:rPr>
          <w:rFonts w:hint="eastAsia"/>
          <w:color w:val="auto"/>
          <w:highlight w:val="none"/>
        </w:rPr>
        <w:t>《建筑涂料单位产品能源消耗限额》（DB31</w:t>
      </w:r>
      <w:r>
        <w:rPr>
          <w:color w:val="auto"/>
          <w:highlight w:val="none"/>
        </w:rPr>
        <w:t>/</w:t>
      </w:r>
      <w:r>
        <w:rPr>
          <w:rFonts w:hint="eastAsia"/>
          <w:color w:val="auto"/>
          <w:highlight w:val="none"/>
        </w:rPr>
        <w:t>711-20</w:t>
      </w:r>
      <w:r>
        <w:rPr>
          <w:rFonts w:hint="eastAsia"/>
          <w:color w:val="auto"/>
          <w:highlight w:val="none"/>
          <w:lang w:val="en-US" w:eastAsia="zh-CN"/>
        </w:rPr>
        <w:t>20</w:t>
      </w:r>
      <w:r>
        <w:rPr>
          <w:rFonts w:hint="eastAsia"/>
          <w:color w:val="auto"/>
          <w:highlight w:val="none"/>
        </w:rPr>
        <w:t>）；</w:t>
      </w:r>
    </w:p>
    <w:p>
      <w:pPr>
        <w:pStyle w:val="58"/>
        <w:numPr>
          <w:ilvl w:val="0"/>
          <w:numId w:val="6"/>
        </w:numPr>
        <w:ind w:left="0" w:firstLine="560"/>
        <w:rPr>
          <w:color w:val="auto"/>
          <w:highlight w:val="none"/>
        </w:rPr>
      </w:pPr>
      <w:r>
        <w:rPr>
          <w:rFonts w:hint="eastAsia"/>
          <w:color w:val="auto"/>
          <w:highlight w:val="none"/>
        </w:rPr>
        <w:t>《印染布可比单位综合能耗限额》（DB33</w:t>
      </w:r>
      <w:r>
        <w:rPr>
          <w:color w:val="auto"/>
          <w:highlight w:val="none"/>
        </w:rPr>
        <w:t>/</w:t>
      </w:r>
      <w:r>
        <w:rPr>
          <w:rFonts w:hint="eastAsia"/>
          <w:color w:val="auto"/>
          <w:highlight w:val="none"/>
        </w:rPr>
        <w:t>685-20</w:t>
      </w:r>
      <w:r>
        <w:rPr>
          <w:rFonts w:hint="eastAsia"/>
          <w:color w:val="auto"/>
          <w:highlight w:val="none"/>
          <w:lang w:val="en-US" w:eastAsia="zh-CN"/>
        </w:rPr>
        <w:t>2</w:t>
      </w:r>
      <w:r>
        <w:rPr>
          <w:rFonts w:hint="eastAsia"/>
          <w:color w:val="auto"/>
          <w:highlight w:val="none"/>
        </w:rPr>
        <w:t>3）；</w:t>
      </w:r>
    </w:p>
    <w:p>
      <w:pPr>
        <w:pStyle w:val="58"/>
        <w:numPr>
          <w:ilvl w:val="0"/>
          <w:numId w:val="6"/>
        </w:numPr>
        <w:ind w:left="0" w:firstLine="560"/>
        <w:rPr>
          <w:color w:val="auto"/>
          <w:highlight w:val="none"/>
        </w:rPr>
      </w:pPr>
      <w:r>
        <w:rPr>
          <w:rFonts w:hint="eastAsia"/>
          <w:color w:val="auto"/>
          <w:highlight w:val="none"/>
        </w:rPr>
        <w:t>《棉布单位产品可比电耗、综合能耗限额及计算方法》（DB33</w:t>
      </w:r>
      <w:r>
        <w:rPr>
          <w:color w:val="auto"/>
          <w:highlight w:val="none"/>
        </w:rPr>
        <w:t>/</w:t>
      </w:r>
      <w:r>
        <w:rPr>
          <w:rFonts w:hint="eastAsia"/>
          <w:color w:val="auto"/>
          <w:highlight w:val="none"/>
        </w:rPr>
        <w:t>757-2015）；</w:t>
      </w:r>
    </w:p>
    <w:p>
      <w:pPr>
        <w:pStyle w:val="58"/>
        <w:numPr>
          <w:ilvl w:val="0"/>
          <w:numId w:val="6"/>
        </w:numPr>
        <w:ind w:left="0" w:firstLine="560"/>
        <w:rPr>
          <w:color w:val="auto"/>
          <w:highlight w:val="none"/>
        </w:rPr>
      </w:pPr>
      <w:r>
        <w:rPr>
          <w:rFonts w:hint="eastAsia"/>
          <w:color w:val="auto"/>
          <w:highlight w:val="none"/>
        </w:rPr>
        <w:t>《棉纱单位产品可比综合电耗限额及计算方法》（DB33</w:t>
      </w:r>
      <w:r>
        <w:rPr>
          <w:color w:val="auto"/>
          <w:highlight w:val="none"/>
        </w:rPr>
        <w:t>/</w:t>
      </w:r>
      <w:r>
        <w:rPr>
          <w:rFonts w:hint="eastAsia"/>
          <w:color w:val="auto"/>
          <w:highlight w:val="none"/>
        </w:rPr>
        <w:t>758-2015）；</w:t>
      </w:r>
    </w:p>
    <w:p>
      <w:pPr>
        <w:pStyle w:val="58"/>
        <w:numPr>
          <w:ilvl w:val="0"/>
          <w:numId w:val="6"/>
        </w:numPr>
        <w:ind w:left="0" w:firstLine="560"/>
        <w:rPr>
          <w:color w:val="auto"/>
          <w:highlight w:val="none"/>
        </w:rPr>
      </w:pPr>
      <w:r>
        <w:rPr>
          <w:rFonts w:hint="eastAsia"/>
          <w:color w:val="auto"/>
          <w:highlight w:val="none"/>
        </w:rPr>
        <w:t>《机制纸板和卷烟纸单位产品能耗限额及计算方法》（DB33/686-2019）；</w:t>
      </w:r>
    </w:p>
    <w:p>
      <w:pPr>
        <w:pStyle w:val="58"/>
        <w:numPr>
          <w:ilvl w:val="0"/>
          <w:numId w:val="6"/>
        </w:numPr>
        <w:ind w:left="0" w:firstLine="560"/>
        <w:rPr>
          <w:color w:val="auto"/>
          <w:highlight w:val="none"/>
        </w:rPr>
      </w:pPr>
      <w:r>
        <w:rPr>
          <w:rFonts w:hint="eastAsia"/>
          <w:color w:val="auto"/>
          <w:highlight w:val="none"/>
        </w:rPr>
        <w:t>《能源统计工作手册》（中国统计出版社2010年）</w:t>
      </w:r>
      <w:r>
        <w:rPr>
          <w:rFonts w:hint="eastAsia"/>
          <w:color w:val="auto"/>
          <w:highlight w:val="none"/>
          <w:lang w:eastAsia="zh-CN"/>
        </w:rPr>
        <w:t>；</w:t>
      </w:r>
    </w:p>
    <w:p>
      <w:pPr>
        <w:pStyle w:val="58"/>
        <w:numPr>
          <w:ilvl w:val="0"/>
          <w:numId w:val="6"/>
        </w:numPr>
        <w:ind w:left="0" w:firstLine="560"/>
        <w:rPr>
          <w:rFonts w:hint="eastAsia"/>
          <w:color w:val="auto"/>
          <w:highlight w:val="none"/>
        </w:rPr>
      </w:pPr>
      <w:r>
        <w:rPr>
          <w:rFonts w:hint="eastAsia"/>
          <w:color w:val="auto"/>
          <w:highlight w:val="none"/>
        </w:rPr>
        <w:t>《绿色建筑评价标准》（GB/T 50378-2019）</w:t>
      </w:r>
      <w:r>
        <w:rPr>
          <w:rFonts w:hint="eastAsia"/>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《建筑给水排水与节水通用规范》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GB55020-2021</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《建筑给水排水设计标准》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GB50015-2019</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《建筑设计防火规范》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GB50016-2014</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2018年版</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《绿色建筑评价标准》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GB/T50378-2019</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《绿色工业建筑评价标准》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GB/T50878-2013</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《工业企业总平面设计规范》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GB50187-2012</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《工业建筑节能设计统一标准》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GB51245-2017</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《节水型生活用水器具》（CJT164-2014）</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《民用建筑节水设计标准》（GB50555-2010）</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《民用建筑太阳能热水系统应用技术规范》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GB50364-2018</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《电动汽车分散充电设施工程技术标准》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GB/T51313-2018</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《建筑节能与可再生能源利用通用规范》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GB55015-2021</w:t>
      </w:r>
      <w:r>
        <w:rPr>
          <w:rFonts w:hint="eastAsia" w:ascii="Times New Roman" w:hAnsi="Times New Roman" w:eastAsia="宋体" w:cs="Times New Roman"/>
          <w:color w:val="auto"/>
          <w:highlight w:val="none"/>
          <w:lang w:eastAsia="zh-CN"/>
        </w:rPr>
        <w:t>）。</w:t>
      </w:r>
    </w:p>
    <w:p>
      <w:pPr>
        <w:pStyle w:val="4"/>
        <w:numPr>
          <w:ilvl w:val="2"/>
          <w:numId w:val="3"/>
        </w:numPr>
        <w:ind w:left="709" w:hanging="709"/>
        <w:rPr>
          <w:color w:val="auto"/>
          <w:highlight w:val="none"/>
        </w:rPr>
      </w:pPr>
      <w:bookmarkStart w:id="15" w:name="_Toc2383"/>
      <w:r>
        <w:rPr>
          <w:rFonts w:hint="eastAsia"/>
          <w:color w:val="auto"/>
          <w:highlight w:val="none"/>
        </w:rPr>
        <w:t>相关</w:t>
      </w:r>
      <w:r>
        <w:rPr>
          <w:color w:val="auto"/>
          <w:highlight w:val="none"/>
        </w:rPr>
        <w:t>规划</w:t>
      </w:r>
      <w:bookmarkEnd w:id="15"/>
    </w:p>
    <w:p>
      <w:pPr>
        <w:pStyle w:val="58"/>
        <w:numPr>
          <w:ilvl w:val="0"/>
          <w:numId w:val="7"/>
        </w:numPr>
        <w:ind w:left="0" w:firstLine="560"/>
        <w:rPr>
          <w:color w:val="auto"/>
          <w:highlight w:val="none"/>
        </w:rPr>
      </w:pPr>
      <w:r>
        <w:rPr>
          <w:rFonts w:hint="eastAsia"/>
          <w:color w:val="auto"/>
          <w:highlight w:val="none"/>
        </w:rPr>
        <w:t>《湖北省能源发展</w:t>
      </w:r>
      <w:r>
        <w:rPr>
          <w:rFonts w:hint="eastAsia"/>
          <w:color w:val="auto"/>
          <w:highlight w:val="none"/>
          <w:lang w:eastAsia="zh-CN"/>
        </w:rPr>
        <w:t>“十四五”</w:t>
      </w:r>
      <w:r>
        <w:rPr>
          <w:rFonts w:hint="eastAsia"/>
          <w:color w:val="auto"/>
          <w:highlight w:val="none"/>
        </w:rPr>
        <w:t>规划》；</w:t>
      </w:r>
    </w:p>
    <w:p>
      <w:pPr>
        <w:pStyle w:val="58"/>
        <w:numPr>
          <w:ilvl w:val="0"/>
          <w:numId w:val="7"/>
        </w:numPr>
        <w:ind w:left="0" w:firstLine="560"/>
        <w:rPr>
          <w:color w:val="auto"/>
          <w:highlight w:val="none"/>
        </w:rPr>
      </w:pPr>
      <w:r>
        <w:rPr>
          <w:rFonts w:hint="eastAsia"/>
          <w:color w:val="auto"/>
          <w:highlight w:val="none"/>
        </w:rPr>
        <w:t>《湖北省</w:t>
      </w:r>
      <w:r>
        <w:rPr>
          <w:rFonts w:hint="eastAsia"/>
          <w:color w:val="auto"/>
          <w:highlight w:val="none"/>
          <w:lang w:eastAsia="zh-CN"/>
        </w:rPr>
        <w:t>“十四五”</w:t>
      </w:r>
      <w:r>
        <w:rPr>
          <w:rFonts w:hint="eastAsia"/>
          <w:color w:val="auto"/>
          <w:highlight w:val="none"/>
        </w:rPr>
        <w:t>节能减排综合工作方案》；</w:t>
      </w:r>
    </w:p>
    <w:p>
      <w:pPr>
        <w:pStyle w:val="58"/>
        <w:numPr>
          <w:ilvl w:val="0"/>
          <w:numId w:val="7"/>
        </w:numPr>
        <w:ind w:left="0" w:firstLine="560"/>
        <w:rPr>
          <w:color w:val="auto"/>
          <w:highlight w:val="none"/>
        </w:rPr>
      </w:pPr>
      <w:r>
        <w:rPr>
          <w:rFonts w:hint="eastAsia"/>
          <w:color w:val="auto"/>
          <w:highlight w:val="none"/>
        </w:rPr>
        <w:t>《湖北省应对气候变化和节能</w:t>
      </w:r>
      <w:r>
        <w:rPr>
          <w:rFonts w:hint="eastAsia"/>
          <w:color w:val="auto"/>
          <w:highlight w:val="none"/>
          <w:lang w:eastAsia="zh-CN"/>
        </w:rPr>
        <w:t>“十四五”</w:t>
      </w:r>
      <w:r>
        <w:rPr>
          <w:rFonts w:hint="eastAsia"/>
          <w:color w:val="auto"/>
          <w:highlight w:val="none"/>
        </w:rPr>
        <w:t>规划》；</w:t>
      </w:r>
    </w:p>
    <w:p>
      <w:pPr>
        <w:pStyle w:val="58"/>
        <w:numPr>
          <w:ilvl w:val="0"/>
          <w:numId w:val="7"/>
        </w:numPr>
        <w:ind w:left="0" w:firstLine="560"/>
        <w:rPr>
          <w:color w:val="auto"/>
          <w:highlight w:val="none"/>
        </w:rPr>
      </w:pPr>
      <w:r>
        <w:rPr>
          <w:rFonts w:hint="eastAsia"/>
          <w:color w:val="auto"/>
          <w:highlight w:val="none"/>
        </w:rPr>
        <w:t>《湖北省可再生能源发展</w:t>
      </w:r>
      <w:r>
        <w:rPr>
          <w:rFonts w:hint="eastAsia"/>
          <w:color w:val="auto"/>
          <w:highlight w:val="none"/>
          <w:lang w:eastAsia="zh-CN"/>
        </w:rPr>
        <w:t>“十四五”</w:t>
      </w:r>
      <w:r>
        <w:rPr>
          <w:rFonts w:hint="eastAsia"/>
          <w:color w:val="auto"/>
          <w:highlight w:val="none"/>
        </w:rPr>
        <w:t>规划》；</w:t>
      </w:r>
    </w:p>
    <w:p>
      <w:pPr>
        <w:pStyle w:val="58"/>
        <w:numPr>
          <w:ilvl w:val="0"/>
          <w:numId w:val="7"/>
        </w:numPr>
        <w:ind w:firstLineChars="0"/>
        <w:rPr>
          <w:color w:val="auto"/>
          <w:highlight w:val="none"/>
        </w:rPr>
      </w:pPr>
      <w:r>
        <w:rPr>
          <w:rFonts w:hint="eastAsia"/>
          <w:color w:val="auto"/>
          <w:highlight w:val="none"/>
        </w:rPr>
        <w:t>《咸宁市能源发展与空间布局规划》（2020</w:t>
      </w:r>
      <w:r>
        <w:rPr>
          <w:color w:val="auto"/>
          <w:highlight w:val="none"/>
        </w:rPr>
        <w:t>~</w:t>
      </w:r>
      <w:r>
        <w:rPr>
          <w:rFonts w:hint="eastAsia"/>
          <w:color w:val="auto"/>
          <w:highlight w:val="none"/>
        </w:rPr>
        <w:t>2035年）；</w:t>
      </w:r>
    </w:p>
    <w:p>
      <w:pPr>
        <w:pStyle w:val="58"/>
        <w:numPr>
          <w:ilvl w:val="0"/>
          <w:numId w:val="7"/>
        </w:numPr>
        <w:ind w:firstLineChars="0"/>
        <w:rPr>
          <w:color w:val="auto"/>
          <w:highlight w:val="none"/>
        </w:rPr>
      </w:pPr>
      <w:r>
        <w:rPr>
          <w:rFonts w:hint="eastAsia"/>
          <w:color w:val="auto"/>
          <w:highlight w:val="none"/>
        </w:rPr>
        <w:t>《咸宁市区热电联产专项规划（2019</w:t>
      </w:r>
      <w:r>
        <w:rPr>
          <w:color w:val="auto"/>
          <w:highlight w:val="none"/>
        </w:rPr>
        <w:t>~</w:t>
      </w:r>
      <w:r>
        <w:rPr>
          <w:rFonts w:hint="eastAsia"/>
          <w:color w:val="auto"/>
          <w:highlight w:val="none"/>
        </w:rPr>
        <w:t>2030年）》；</w:t>
      </w:r>
    </w:p>
    <w:p>
      <w:pPr>
        <w:pStyle w:val="58"/>
        <w:numPr>
          <w:ilvl w:val="0"/>
          <w:numId w:val="7"/>
        </w:numPr>
        <w:ind w:firstLineChars="0"/>
        <w:rPr>
          <w:color w:val="auto"/>
          <w:highlight w:val="none"/>
        </w:rPr>
      </w:pPr>
      <w:r>
        <w:rPr>
          <w:rFonts w:hint="eastAsia"/>
          <w:color w:val="auto"/>
          <w:highlight w:val="none"/>
        </w:rPr>
        <w:t>《咸宁市城区供水专项规划（2012~2030）》；</w:t>
      </w:r>
    </w:p>
    <w:p>
      <w:pPr>
        <w:pStyle w:val="58"/>
        <w:numPr>
          <w:ilvl w:val="0"/>
          <w:numId w:val="7"/>
        </w:numPr>
        <w:ind w:firstLineChars="0"/>
        <w:rPr>
          <w:color w:val="auto"/>
          <w:highlight w:val="none"/>
        </w:rPr>
      </w:pPr>
      <w:r>
        <w:rPr>
          <w:rFonts w:hint="eastAsia"/>
          <w:color w:val="auto"/>
          <w:highlight w:val="none"/>
        </w:rPr>
        <w:t>《咸宁高新区“多规合一”综合发展规划》；</w:t>
      </w:r>
    </w:p>
    <w:p>
      <w:pPr>
        <w:pStyle w:val="58"/>
        <w:numPr>
          <w:ilvl w:val="0"/>
          <w:numId w:val="7"/>
        </w:numPr>
        <w:ind w:left="0" w:firstLine="560"/>
        <w:rPr>
          <w:color w:val="auto"/>
          <w:highlight w:val="none"/>
        </w:rPr>
      </w:pPr>
      <w:r>
        <w:rPr>
          <w:rFonts w:hint="eastAsia"/>
          <w:color w:val="auto"/>
          <w:highlight w:val="none"/>
          <w:lang w:eastAsia="zh-CN"/>
        </w:rPr>
        <w:t>《</w:t>
      </w:r>
      <w:r>
        <w:rPr>
          <w:rFonts w:hint="eastAsia"/>
          <w:color w:val="auto"/>
          <w:highlight w:val="none"/>
        </w:rPr>
        <w:t>咸宁高新技术产业开发区国民经济和社会发展第十四个五年规划和二〇三五年远景目标纲要</w:t>
      </w:r>
      <w:r>
        <w:rPr>
          <w:rFonts w:hint="eastAsia"/>
          <w:color w:val="auto"/>
          <w:highlight w:val="none"/>
          <w:lang w:eastAsia="zh-CN"/>
        </w:rPr>
        <w:t>》；</w:t>
      </w:r>
    </w:p>
    <w:p>
      <w:pPr>
        <w:pStyle w:val="58"/>
        <w:numPr>
          <w:ilvl w:val="0"/>
          <w:numId w:val="7"/>
        </w:numPr>
        <w:ind w:left="0" w:firstLine="560"/>
        <w:rPr>
          <w:color w:val="auto"/>
          <w:highlight w:val="none"/>
        </w:rPr>
      </w:pPr>
      <w:r>
        <w:rPr>
          <w:rFonts w:hint="eastAsia"/>
          <w:color w:val="auto"/>
          <w:highlight w:val="none"/>
          <w:lang w:eastAsia="zh-CN"/>
        </w:rPr>
        <w:t>《咸宁市“十四五”节能减排实施方案》</w:t>
      </w:r>
    </w:p>
    <w:p>
      <w:pPr>
        <w:pStyle w:val="58"/>
        <w:widowControl/>
        <w:numPr>
          <w:ilvl w:val="0"/>
          <w:numId w:val="7"/>
        </w:numPr>
        <w:spacing w:line="240" w:lineRule="auto"/>
        <w:ind w:left="0" w:leftChars="0" w:firstLine="560" w:firstLineChars="200"/>
        <w:jc w:val="left"/>
        <w:rPr>
          <w:rFonts w:hint="eastAsia"/>
          <w:color w:val="auto"/>
          <w:highlight w:val="none"/>
        </w:rPr>
      </w:pPr>
      <w:r>
        <w:rPr>
          <w:rFonts w:hint="eastAsia" w:cs="Times New Roman"/>
          <w:i w:val="0"/>
          <w:iCs w:val="0"/>
          <w:caps w:val="0"/>
          <w:color w:val="auto"/>
          <w:spacing w:val="0"/>
          <w:sz w:val="28"/>
          <w:szCs w:val="21"/>
          <w:highlight w:val="none"/>
          <w:lang w:eastAsia="zh-CN"/>
        </w:rPr>
        <w:t>《</w:t>
      </w:r>
      <w:r>
        <w:rPr>
          <w:rFonts w:hint="eastAsia" w:ascii="Times New Roman" w:hAnsi="Times New Roman" w:eastAsia="宋体" w:cs="Times New Roman"/>
          <w:i w:val="0"/>
          <w:iCs w:val="0"/>
          <w:caps w:val="0"/>
          <w:color w:val="auto"/>
          <w:spacing w:val="0"/>
          <w:sz w:val="28"/>
          <w:szCs w:val="21"/>
          <w:highlight w:val="none"/>
        </w:rPr>
        <w:t>湖北咸宁经济开发区（二期）控制性详细规划</w:t>
      </w:r>
      <w:r>
        <w:rPr>
          <w:rFonts w:hint="eastAsia" w:cs="Times New Roman"/>
          <w:i w:val="0"/>
          <w:iCs w:val="0"/>
          <w:caps w:val="0"/>
          <w:color w:val="auto"/>
          <w:spacing w:val="0"/>
          <w:sz w:val="28"/>
          <w:szCs w:val="21"/>
          <w:highlight w:val="none"/>
          <w:lang w:eastAsia="zh-CN"/>
        </w:rPr>
        <w:t>》</w:t>
      </w:r>
    </w:p>
    <w:p>
      <w:pPr>
        <w:pStyle w:val="58"/>
        <w:numPr>
          <w:ilvl w:val="0"/>
          <w:numId w:val="7"/>
        </w:numPr>
        <w:ind w:left="0" w:leftChars="0" w:firstLine="560" w:firstLineChars="0"/>
        <w:rPr>
          <w:rFonts w:hint="eastAsia"/>
          <w:color w:val="auto"/>
          <w:highlight w:val="none"/>
        </w:rPr>
      </w:pPr>
      <w:r>
        <w:rPr>
          <w:rFonts w:hint="eastAsia"/>
          <w:color w:val="auto"/>
          <w:highlight w:val="none"/>
        </w:rPr>
        <w:t>《光谷科技创新大走廊咸宁功能区发展规划（2021</w:t>
      </w:r>
      <w:r>
        <w:rPr>
          <w:rFonts w:hint="eastAsia"/>
          <w:color w:val="auto"/>
          <w:highlight w:val="none"/>
          <w:lang w:val="en-US" w:eastAsia="zh-CN"/>
        </w:rPr>
        <w:t>-</w:t>
      </w:r>
      <w:r>
        <w:rPr>
          <w:rFonts w:hint="eastAsia"/>
          <w:color w:val="auto"/>
          <w:highlight w:val="none"/>
        </w:rPr>
        <w:t>2035年）》</w:t>
      </w:r>
      <w:r>
        <w:rPr>
          <w:rFonts w:hint="eastAsia"/>
          <w:color w:val="auto"/>
          <w:highlight w:val="none"/>
          <w:lang w:eastAsia="zh-CN"/>
        </w:rPr>
        <w:t>。</w:t>
      </w:r>
    </w:p>
    <w:p>
      <w:pPr>
        <w:pStyle w:val="3"/>
        <w:numPr>
          <w:ilvl w:val="1"/>
          <w:numId w:val="3"/>
        </w:numPr>
        <w:ind w:left="567" w:hanging="567"/>
        <w:rPr>
          <w:color w:val="auto"/>
          <w:highlight w:val="none"/>
        </w:rPr>
      </w:pPr>
      <w:bookmarkStart w:id="16" w:name="_Toc1464"/>
      <w:r>
        <w:rPr>
          <w:rFonts w:hint="eastAsia"/>
          <w:color w:val="auto"/>
          <w:highlight w:val="none"/>
        </w:rPr>
        <w:t>评估</w:t>
      </w:r>
      <w:r>
        <w:rPr>
          <w:color w:val="auto"/>
          <w:highlight w:val="none"/>
        </w:rPr>
        <w:t>内容</w:t>
      </w:r>
      <w:r>
        <w:rPr>
          <w:rFonts w:hint="eastAsia"/>
          <w:color w:val="auto"/>
          <w:highlight w:val="none"/>
        </w:rPr>
        <w:t>和</w:t>
      </w:r>
      <w:r>
        <w:rPr>
          <w:color w:val="auto"/>
          <w:highlight w:val="none"/>
        </w:rPr>
        <w:t>重点、期限</w:t>
      </w:r>
      <w:bookmarkEnd w:id="16"/>
    </w:p>
    <w:p>
      <w:pPr>
        <w:pStyle w:val="4"/>
        <w:numPr>
          <w:ilvl w:val="2"/>
          <w:numId w:val="3"/>
        </w:numPr>
        <w:ind w:left="709" w:hanging="709"/>
        <w:rPr>
          <w:color w:val="auto"/>
          <w:highlight w:val="none"/>
        </w:rPr>
      </w:pPr>
      <w:bookmarkStart w:id="17" w:name="_Toc32572"/>
      <w:r>
        <w:rPr>
          <w:rFonts w:hint="eastAsia"/>
          <w:color w:val="auto"/>
          <w:highlight w:val="none"/>
        </w:rPr>
        <w:t>评估</w:t>
      </w:r>
      <w:r>
        <w:rPr>
          <w:color w:val="auto"/>
          <w:highlight w:val="none"/>
        </w:rPr>
        <w:t>对象</w:t>
      </w:r>
      <w:bookmarkEnd w:id="17"/>
    </w:p>
    <w:p>
      <w:pPr>
        <w:ind w:firstLine="560"/>
        <w:rPr>
          <w:color w:val="auto"/>
          <w:highlight w:val="none"/>
        </w:rPr>
      </w:pPr>
      <w:r>
        <w:rPr>
          <w:rFonts w:hint="eastAsia"/>
          <w:color w:val="auto"/>
          <w:highlight w:val="none"/>
        </w:rPr>
        <w:t>评价对象界定：本次评价对象为咸宁高新区内规模以上工业企业，不包括建筑业</w:t>
      </w:r>
      <w:r>
        <w:rPr>
          <w:color w:val="auto"/>
          <w:highlight w:val="none"/>
        </w:rPr>
        <w:t>、</w:t>
      </w:r>
      <w:r>
        <w:rPr>
          <w:rFonts w:hint="eastAsia"/>
          <w:color w:val="auto"/>
          <w:highlight w:val="none"/>
        </w:rPr>
        <w:t>第一产业及第三产业。</w:t>
      </w:r>
    </w:p>
    <w:p>
      <w:pPr>
        <w:pStyle w:val="4"/>
        <w:numPr>
          <w:ilvl w:val="2"/>
          <w:numId w:val="3"/>
        </w:numPr>
        <w:ind w:left="709" w:hanging="709"/>
        <w:rPr>
          <w:color w:val="auto"/>
          <w:highlight w:val="none"/>
        </w:rPr>
      </w:pPr>
      <w:bookmarkStart w:id="18" w:name="_Toc5987"/>
      <w:r>
        <w:rPr>
          <w:rFonts w:hint="eastAsia"/>
          <w:color w:val="auto"/>
          <w:highlight w:val="none"/>
        </w:rPr>
        <w:t>评估内容</w:t>
      </w:r>
      <w:r>
        <w:rPr>
          <w:color w:val="auto"/>
          <w:highlight w:val="none"/>
        </w:rPr>
        <w:t>和重点</w:t>
      </w:r>
      <w:bookmarkEnd w:id="18"/>
    </w:p>
    <w:p>
      <w:pPr>
        <w:ind w:firstLine="560"/>
        <w:rPr>
          <w:color w:val="auto"/>
          <w:highlight w:val="none"/>
        </w:rPr>
      </w:pPr>
      <w:r>
        <w:rPr>
          <w:rFonts w:hint="eastAsia"/>
          <w:color w:val="auto"/>
          <w:highlight w:val="none"/>
        </w:rPr>
        <w:t>依据《湖北省开发区、工业园区区域性统一评价试点工作方案》等文件，按要求对以下内容进行重点评价：</w:t>
      </w:r>
    </w:p>
    <w:p>
      <w:pPr>
        <w:ind w:firstLine="560"/>
        <w:rPr>
          <w:color w:val="auto"/>
          <w:highlight w:val="none"/>
        </w:rPr>
      </w:pPr>
      <w:r>
        <w:rPr>
          <w:rFonts w:hint="eastAsia"/>
          <w:color w:val="auto"/>
          <w:highlight w:val="none"/>
        </w:rPr>
        <w:t>（1）区域用能概况及产业规划：分析区域用能概况，包括能源供应条件、运输能力、现状负荷（容量）富余程度，功能网络（包括电力、热力、天然气、水等），区域余热、余压等资源。根据区域已发布的产业发展规划分析本区域产业总体定位与发展方向，项目引进原则、鼓励引进的项目和优先发展的行业、限制和禁止引进的项目和行业。</w:t>
      </w:r>
    </w:p>
    <w:p>
      <w:pPr>
        <w:ind w:firstLine="560"/>
        <w:rPr>
          <w:color w:val="auto"/>
          <w:highlight w:val="none"/>
        </w:rPr>
      </w:pPr>
      <w:r>
        <w:rPr>
          <w:rFonts w:hint="eastAsia"/>
          <w:color w:val="auto"/>
          <w:highlight w:val="none"/>
        </w:rPr>
        <w:t>（2）区域能源“双控”目标：根据区域所在地节能主管部门分解下达的考核期节能目标要求，结合区域内行业用能特点，确定本区域统计考核期内用能总量、增量及用能强度下降量。评价包括一个时期内该区域的能源消费强度和用能总量的区域能源“双控”目标。</w:t>
      </w:r>
    </w:p>
    <w:p>
      <w:pPr>
        <w:ind w:firstLine="560"/>
        <w:rPr>
          <w:color w:val="auto"/>
          <w:highlight w:val="none"/>
        </w:rPr>
      </w:pPr>
      <w:r>
        <w:rPr>
          <w:rFonts w:hint="eastAsia"/>
          <w:color w:val="auto"/>
          <w:highlight w:val="none"/>
        </w:rPr>
        <w:t>（3）区域负面清单：以高耗能行业或单位产值能耗明显高于区域能耗强度控制目标或区域能耗标准的相关行业为基础，结合区域产业发展规划，建立区域工业固定资产投资项目负面清单。对负面清单外的项目实行承诺备案管理，负面清单内的项目实行项目能评管理。</w:t>
      </w:r>
    </w:p>
    <w:p>
      <w:pPr>
        <w:ind w:firstLine="560"/>
        <w:rPr>
          <w:color w:val="auto"/>
          <w:highlight w:val="none"/>
        </w:rPr>
      </w:pPr>
      <w:r>
        <w:rPr>
          <w:rFonts w:hint="eastAsia"/>
          <w:color w:val="auto"/>
          <w:highlight w:val="none"/>
        </w:rPr>
        <w:t>（4）区域能效标准：摸清区域内不同行业单位工业产值能耗、单位产品能耗等能效现状。对照国家、湖北省已颁布实施的强制性能耗标准，对区域内各行业能效现状进行对标。根据区域内现有企业工艺技术水平，开展能效领跑者活动，推出一批区域能源利用效率领先的行业标杆，不断促进区域能效水平的提升。</w:t>
      </w:r>
    </w:p>
    <w:p>
      <w:pPr>
        <w:ind w:firstLine="560"/>
        <w:rPr>
          <w:color w:val="auto"/>
          <w:highlight w:val="none"/>
        </w:rPr>
      </w:pPr>
      <w:r>
        <w:rPr>
          <w:rFonts w:hint="eastAsia"/>
          <w:color w:val="auto"/>
          <w:highlight w:val="none"/>
        </w:rPr>
        <w:t>（5）区域节能措施：总结区域内不同行业先进的节能技术措施，主要指生产工艺、动力、建筑、给排水、暖通与空调、照明、控制、电气等方面的具体节能措施。落实各项节能管理措施，包括行业能源管理体系建设、能源统计和能源计量器具配备和管理措施等，不断提高区域能源利用效率。</w:t>
      </w:r>
    </w:p>
    <w:p>
      <w:pPr>
        <w:pStyle w:val="4"/>
        <w:numPr>
          <w:ilvl w:val="2"/>
          <w:numId w:val="3"/>
        </w:numPr>
        <w:ind w:left="709" w:hanging="709"/>
        <w:rPr>
          <w:color w:val="auto"/>
          <w:highlight w:val="none"/>
        </w:rPr>
      </w:pPr>
      <w:bookmarkStart w:id="19" w:name="_Toc3593"/>
      <w:r>
        <w:rPr>
          <w:rFonts w:hint="eastAsia"/>
          <w:color w:val="auto"/>
          <w:highlight w:val="none"/>
        </w:rPr>
        <w:t>评估</w:t>
      </w:r>
      <w:r>
        <w:rPr>
          <w:color w:val="auto"/>
          <w:highlight w:val="none"/>
        </w:rPr>
        <w:t>期限</w:t>
      </w:r>
      <w:bookmarkEnd w:id="19"/>
    </w:p>
    <w:p>
      <w:pPr>
        <w:ind w:firstLine="560"/>
        <w:rPr>
          <w:color w:val="auto"/>
          <w:highlight w:val="none"/>
        </w:rPr>
      </w:pPr>
      <w:r>
        <w:rPr>
          <w:rFonts w:hint="eastAsia"/>
          <w:color w:val="auto"/>
          <w:highlight w:val="none"/>
        </w:rPr>
        <w:t>评估</w:t>
      </w:r>
      <w:r>
        <w:rPr>
          <w:color w:val="auto"/>
          <w:highlight w:val="none"/>
        </w:rPr>
        <w:t>期限：</w:t>
      </w:r>
      <w:r>
        <w:rPr>
          <w:rFonts w:hint="eastAsia"/>
          <w:color w:val="auto"/>
          <w:highlight w:val="none"/>
        </w:rPr>
        <w:t>202</w:t>
      </w:r>
      <w:r>
        <w:rPr>
          <w:rFonts w:hint="eastAsia"/>
          <w:color w:val="auto"/>
          <w:highlight w:val="none"/>
          <w:lang w:val="en-US" w:eastAsia="zh-CN"/>
        </w:rPr>
        <w:t>3</w:t>
      </w:r>
      <w:r>
        <w:rPr>
          <w:color w:val="auto"/>
          <w:highlight w:val="none"/>
        </w:rPr>
        <w:t>~</w:t>
      </w:r>
      <w:r>
        <w:rPr>
          <w:rFonts w:hint="eastAsia"/>
          <w:color w:val="auto"/>
          <w:highlight w:val="none"/>
          <w:lang w:val="en-US" w:eastAsia="zh-CN"/>
        </w:rPr>
        <w:t>2027</w:t>
      </w:r>
      <w:r>
        <w:rPr>
          <w:rFonts w:hint="eastAsia"/>
          <w:color w:val="auto"/>
          <w:highlight w:val="none"/>
        </w:rPr>
        <w:t>年</w:t>
      </w:r>
    </w:p>
    <w:p>
      <w:pPr>
        <w:ind w:firstLine="560"/>
        <w:rPr>
          <w:color w:val="auto"/>
          <w:highlight w:val="none"/>
        </w:rPr>
      </w:pPr>
      <w:r>
        <w:rPr>
          <w:rFonts w:hint="eastAsia"/>
          <w:color w:val="auto"/>
          <w:highlight w:val="none"/>
        </w:rPr>
        <w:t>评估</w:t>
      </w:r>
      <w:r>
        <w:rPr>
          <w:color w:val="auto"/>
          <w:highlight w:val="none"/>
        </w:rPr>
        <w:t>基准年：</w:t>
      </w:r>
      <w:r>
        <w:rPr>
          <w:rFonts w:hint="eastAsia"/>
          <w:color w:val="auto"/>
          <w:highlight w:val="none"/>
        </w:rPr>
        <w:t>20</w:t>
      </w:r>
      <w:r>
        <w:rPr>
          <w:rFonts w:hint="eastAsia"/>
          <w:color w:val="auto"/>
          <w:highlight w:val="none"/>
          <w:lang w:val="en-US" w:eastAsia="zh-CN"/>
        </w:rPr>
        <w:t>22</w:t>
      </w:r>
      <w:r>
        <w:rPr>
          <w:rFonts w:hint="eastAsia"/>
          <w:color w:val="auto"/>
          <w:highlight w:val="none"/>
        </w:rPr>
        <w:t>年</w:t>
      </w:r>
    </w:p>
    <w:p>
      <w:pPr>
        <w:pStyle w:val="3"/>
        <w:numPr>
          <w:ilvl w:val="1"/>
          <w:numId w:val="3"/>
        </w:numPr>
        <w:ind w:left="567" w:hanging="567"/>
        <w:rPr>
          <w:color w:val="auto"/>
          <w:highlight w:val="none"/>
        </w:rPr>
      </w:pPr>
      <w:bookmarkStart w:id="20" w:name="_Toc17716"/>
      <w:r>
        <w:rPr>
          <w:rFonts w:hint="eastAsia"/>
          <w:color w:val="auto"/>
          <w:highlight w:val="none"/>
        </w:rPr>
        <w:t>评估</w:t>
      </w:r>
      <w:r>
        <w:rPr>
          <w:color w:val="auto"/>
          <w:highlight w:val="none"/>
        </w:rPr>
        <w:t>原则和目的</w:t>
      </w:r>
      <w:bookmarkEnd w:id="20"/>
    </w:p>
    <w:p>
      <w:pPr>
        <w:pStyle w:val="4"/>
        <w:numPr>
          <w:ilvl w:val="2"/>
          <w:numId w:val="3"/>
        </w:numPr>
        <w:ind w:left="709" w:hanging="709"/>
        <w:rPr>
          <w:color w:val="auto"/>
          <w:highlight w:val="none"/>
        </w:rPr>
      </w:pPr>
      <w:bookmarkStart w:id="21" w:name="_Toc1291"/>
      <w:r>
        <w:rPr>
          <w:rFonts w:hint="eastAsia"/>
          <w:color w:val="auto"/>
          <w:highlight w:val="none"/>
        </w:rPr>
        <w:t>评估</w:t>
      </w:r>
      <w:r>
        <w:rPr>
          <w:color w:val="auto"/>
          <w:highlight w:val="none"/>
        </w:rPr>
        <w:t>原则</w:t>
      </w:r>
      <w:bookmarkEnd w:id="21"/>
    </w:p>
    <w:p>
      <w:pPr>
        <w:ind w:firstLine="560"/>
        <w:rPr>
          <w:color w:val="auto"/>
          <w:highlight w:val="none"/>
        </w:rPr>
      </w:pPr>
      <w:r>
        <w:rPr>
          <w:rFonts w:hint="eastAsia"/>
          <w:color w:val="auto"/>
          <w:highlight w:val="none"/>
        </w:rPr>
        <w:t>（1）真实性原则。对所依据资料、文件和数据的真实性做出分析和判断，本着认真负责的态度对区域用能情况进行分析评价，确保评价结果的真实性。</w:t>
      </w:r>
    </w:p>
    <w:p>
      <w:pPr>
        <w:ind w:firstLine="560"/>
        <w:rPr>
          <w:color w:val="auto"/>
          <w:highlight w:val="none"/>
        </w:rPr>
      </w:pPr>
      <w:r>
        <w:rPr>
          <w:rFonts w:hint="eastAsia"/>
          <w:color w:val="auto"/>
          <w:highlight w:val="none"/>
        </w:rPr>
        <w:t>（2）科学性原则。严格按照评价目的、评价程序，从咸宁国家高新技术产业开发区实际出发，对项目相关数据、文件、资料等进行研究、计算和分析，得出科学、正确和公正的评价结论。</w:t>
      </w:r>
    </w:p>
    <w:p>
      <w:pPr>
        <w:ind w:firstLine="560"/>
        <w:rPr>
          <w:color w:val="auto"/>
          <w:highlight w:val="none"/>
        </w:rPr>
      </w:pPr>
      <w:r>
        <w:rPr>
          <w:rFonts w:hint="eastAsia"/>
          <w:color w:val="auto"/>
          <w:highlight w:val="none"/>
        </w:rPr>
        <w:t>（3）可行性原则。在评价过程中，根据区域行业特点，依据适宜的法规、政策、标准、规范，采取合理可行的评价方法，以保证区域能评工作的顺利完成。</w:t>
      </w:r>
    </w:p>
    <w:p>
      <w:pPr>
        <w:ind w:firstLine="560"/>
        <w:rPr>
          <w:color w:val="auto"/>
          <w:highlight w:val="none"/>
        </w:rPr>
      </w:pPr>
      <w:r>
        <w:rPr>
          <w:rFonts w:hint="eastAsia"/>
          <w:color w:val="auto"/>
          <w:highlight w:val="none"/>
        </w:rPr>
        <w:t>（4）独立性原则。我司将立足于自身评价技术知识和水平，客观、公正进行独立评价。</w:t>
      </w:r>
    </w:p>
    <w:p>
      <w:pPr>
        <w:pStyle w:val="4"/>
        <w:numPr>
          <w:ilvl w:val="2"/>
          <w:numId w:val="3"/>
        </w:numPr>
        <w:ind w:left="709" w:hanging="709"/>
        <w:rPr>
          <w:color w:val="auto"/>
          <w:highlight w:val="none"/>
        </w:rPr>
      </w:pPr>
      <w:bookmarkStart w:id="22" w:name="_Toc12660"/>
      <w:r>
        <w:rPr>
          <w:rFonts w:hint="eastAsia"/>
          <w:color w:val="auto"/>
          <w:highlight w:val="none"/>
        </w:rPr>
        <w:t>评估</w:t>
      </w:r>
      <w:r>
        <w:rPr>
          <w:color w:val="auto"/>
          <w:highlight w:val="none"/>
        </w:rPr>
        <w:t>目的</w:t>
      </w:r>
      <w:bookmarkEnd w:id="22"/>
    </w:p>
    <w:p>
      <w:pPr>
        <w:ind w:firstLine="560"/>
        <w:rPr>
          <w:color w:val="auto"/>
          <w:highlight w:val="none"/>
        </w:rPr>
      </w:pPr>
      <w:r>
        <w:rPr>
          <w:rFonts w:hint="eastAsia"/>
          <w:color w:val="auto"/>
          <w:highlight w:val="none"/>
        </w:rPr>
        <w:t>（1）简政放权，激发活力。简化能评审批环节，减少审批项目内容，一般项目实行能评承诺备案管理，其他项目实行负面清单制度。充分发挥企业投资自主权，激发市场主体活力，加快项目落地进度，高效服务企业发展。</w:t>
      </w:r>
    </w:p>
    <w:p>
      <w:pPr>
        <w:ind w:firstLine="560"/>
        <w:rPr>
          <w:color w:val="auto"/>
          <w:highlight w:val="none"/>
        </w:rPr>
      </w:pPr>
      <w:r>
        <w:rPr>
          <w:rFonts w:hint="eastAsia"/>
          <w:color w:val="auto"/>
          <w:highlight w:val="none"/>
        </w:rPr>
        <w:t>（2）突出双控，依法监管。切实承担起能评改革和完成区域能源“双控”任务的双重责任，确保完成所在区域单位工业产值能耗和能源消费总量控制目标。建立企业用能承诺信用制度，依法开展能评事中事后监管。</w:t>
      </w:r>
    </w:p>
    <w:p>
      <w:pPr>
        <w:ind w:firstLine="560"/>
        <w:rPr>
          <w:color w:val="auto"/>
          <w:highlight w:val="none"/>
        </w:rPr>
      </w:pPr>
      <w:r>
        <w:rPr>
          <w:rFonts w:hint="eastAsia"/>
          <w:color w:val="auto"/>
          <w:highlight w:val="none"/>
        </w:rPr>
        <w:t>在咸宁国家高新技术产业开发区区域内，对工业固定资产投资项目实行“能源‘双控’+分类管理+能效标准”节能评价审查模式。对负面清单外的项目实行承诺备案管理，负面清单内的项目实行项目能评管理，最终</w:t>
      </w:r>
      <w:r>
        <w:rPr>
          <w:color w:val="auto"/>
          <w:highlight w:val="none"/>
        </w:rPr>
        <w:t>达到</w:t>
      </w:r>
      <w:r>
        <w:rPr>
          <w:rFonts w:hint="eastAsia"/>
          <w:color w:val="auto"/>
          <w:highlight w:val="none"/>
        </w:rPr>
        <w:t>简化</w:t>
      </w:r>
      <w:r>
        <w:rPr>
          <w:color w:val="auto"/>
          <w:highlight w:val="none"/>
        </w:rPr>
        <w:t>行政审批手续，服务企业和落实节能降耗目标的目的。</w:t>
      </w:r>
    </w:p>
    <w:p>
      <w:pPr>
        <w:ind w:firstLine="560"/>
        <w:rPr>
          <w:color w:val="auto"/>
          <w:highlight w:val="none"/>
        </w:rPr>
        <w:sectPr>
          <w:footerReference r:id="rId11" w:type="default"/>
          <w:pgSz w:w="11906" w:h="16838"/>
          <w:pgMar w:top="1440" w:right="1800" w:bottom="1440" w:left="1800" w:header="850" w:footer="992" w:gutter="0"/>
          <w:pgNumType w:start="1"/>
          <w:cols w:space="425" w:num="1"/>
          <w:docGrid w:type="lines" w:linePitch="381" w:charSpace="0"/>
        </w:sectPr>
      </w:pPr>
    </w:p>
    <w:p>
      <w:pPr>
        <w:pStyle w:val="2"/>
        <w:numPr>
          <w:ilvl w:val="0"/>
          <w:numId w:val="2"/>
        </w:numPr>
        <w:ind w:left="0" w:leftChars="0" w:firstLine="0" w:firstLineChars="0"/>
        <w:rPr>
          <w:color w:val="auto"/>
          <w:highlight w:val="none"/>
        </w:rPr>
      </w:pPr>
      <w:bookmarkStart w:id="23" w:name="_Toc21664"/>
      <w:r>
        <w:rPr>
          <w:rFonts w:hint="eastAsia"/>
          <w:color w:val="auto"/>
          <w:highlight w:val="none"/>
        </w:rPr>
        <w:t>区域</w:t>
      </w:r>
      <w:r>
        <w:rPr>
          <w:color w:val="auto"/>
          <w:highlight w:val="none"/>
        </w:rPr>
        <w:t>产业现状</w:t>
      </w:r>
      <w:r>
        <w:rPr>
          <w:rFonts w:hint="eastAsia"/>
          <w:color w:val="auto"/>
          <w:highlight w:val="none"/>
        </w:rPr>
        <w:t>及</w:t>
      </w:r>
      <w:r>
        <w:rPr>
          <w:color w:val="auto"/>
          <w:highlight w:val="none"/>
        </w:rPr>
        <w:t>发展规划</w:t>
      </w:r>
      <w:bookmarkEnd w:id="23"/>
    </w:p>
    <w:p>
      <w:pPr>
        <w:pStyle w:val="3"/>
        <w:numPr>
          <w:ilvl w:val="1"/>
          <w:numId w:val="2"/>
        </w:numPr>
        <w:ind w:left="567" w:hanging="567"/>
        <w:rPr>
          <w:color w:val="auto"/>
          <w:highlight w:val="none"/>
        </w:rPr>
      </w:pPr>
      <w:bookmarkStart w:id="24" w:name="_Toc27988"/>
      <w:r>
        <w:rPr>
          <w:rFonts w:hint="eastAsia"/>
          <w:color w:val="auto"/>
          <w:highlight w:val="none"/>
        </w:rPr>
        <w:t>区域产业发展现状</w:t>
      </w:r>
      <w:bookmarkEnd w:id="24"/>
    </w:p>
    <w:p>
      <w:pPr>
        <w:ind w:firstLine="560"/>
        <w:rPr>
          <w:rFonts w:hint="eastAsia"/>
          <w:color w:val="auto"/>
          <w:highlight w:val="none"/>
        </w:rPr>
      </w:pPr>
      <w:r>
        <w:rPr>
          <w:rFonts w:hint="eastAsia"/>
          <w:color w:val="auto"/>
          <w:highlight w:val="none"/>
        </w:rPr>
        <w:t>咸宁</w:t>
      </w:r>
      <w:r>
        <w:rPr>
          <w:color w:val="auto"/>
          <w:highlight w:val="none"/>
        </w:rPr>
        <w:t>高新区</w:t>
      </w:r>
      <w:r>
        <w:rPr>
          <w:rFonts w:hint="eastAsia"/>
          <w:color w:val="auto"/>
          <w:highlight w:val="none"/>
        </w:rPr>
        <w:t>近年来经济增长迅速，已经成为了咸宁市工业经济发展的主力军、主战场和主平台，主要经济指标得到了持续快速发展。20</w:t>
      </w:r>
      <w:r>
        <w:rPr>
          <w:rFonts w:hint="eastAsia"/>
          <w:color w:val="auto"/>
          <w:highlight w:val="none"/>
          <w:lang w:val="en-US" w:eastAsia="zh-CN"/>
        </w:rPr>
        <w:t>22</w:t>
      </w:r>
      <w:r>
        <w:rPr>
          <w:rFonts w:hint="eastAsia"/>
          <w:color w:val="auto"/>
          <w:highlight w:val="none"/>
        </w:rPr>
        <w:t>年，全区实现</w:t>
      </w:r>
      <w:r>
        <w:rPr>
          <w:rFonts w:hint="eastAsia"/>
          <w:color w:val="auto"/>
          <w:highlight w:val="none"/>
          <w:lang w:val="en-US" w:eastAsia="zh-CN"/>
        </w:rPr>
        <w:t>地区生产总值187.66亿元</w:t>
      </w:r>
      <w:r>
        <w:rPr>
          <w:rFonts w:hint="eastAsia"/>
          <w:color w:val="auto"/>
          <w:highlight w:val="none"/>
        </w:rPr>
        <w:t>，较上年增长</w:t>
      </w:r>
      <w:r>
        <w:rPr>
          <w:rFonts w:hint="eastAsia"/>
          <w:color w:val="auto"/>
          <w:highlight w:val="none"/>
          <w:lang w:val="en-US" w:eastAsia="zh-CN"/>
        </w:rPr>
        <w:t>5</w:t>
      </w:r>
      <w:r>
        <w:rPr>
          <w:rFonts w:hint="eastAsia"/>
          <w:color w:val="auto"/>
          <w:highlight w:val="none"/>
        </w:rPr>
        <w:t>%。2022年一般公共预算财政拨款收入10451万元</w:t>
      </w:r>
      <w:r>
        <w:rPr>
          <w:rFonts w:hint="eastAsia"/>
          <w:color w:val="auto"/>
          <w:highlight w:val="none"/>
          <w:lang w:eastAsia="zh-CN"/>
        </w:rPr>
        <w:t>，</w:t>
      </w:r>
      <w:r>
        <w:rPr>
          <w:rFonts w:hint="eastAsia"/>
          <w:color w:val="auto"/>
          <w:highlight w:val="none"/>
          <w:lang w:val="en-US" w:eastAsia="zh-CN"/>
        </w:rPr>
        <w:t>较上年增长68%</w:t>
      </w:r>
      <w:r>
        <w:rPr>
          <w:rFonts w:hint="eastAsia"/>
          <w:color w:val="auto"/>
          <w:highlight w:val="none"/>
          <w:lang w:eastAsia="zh-CN"/>
        </w:rPr>
        <w:t>。</w:t>
      </w:r>
    </w:p>
    <w:p>
      <w:pPr>
        <w:ind w:firstLine="560"/>
        <w:rPr>
          <w:color w:val="auto"/>
          <w:highlight w:val="none"/>
        </w:rPr>
      </w:pPr>
      <w:r>
        <w:rPr>
          <w:rFonts w:hint="eastAsia"/>
          <w:color w:val="auto"/>
          <w:highlight w:val="none"/>
        </w:rPr>
        <w:t>20</w:t>
      </w:r>
      <w:r>
        <w:rPr>
          <w:rFonts w:hint="eastAsia"/>
          <w:color w:val="auto"/>
          <w:highlight w:val="none"/>
          <w:lang w:val="en-US" w:eastAsia="zh-CN"/>
        </w:rPr>
        <w:t>20</w:t>
      </w:r>
      <w:r>
        <w:rPr>
          <w:color w:val="auto"/>
          <w:highlight w:val="none"/>
        </w:rPr>
        <w:t>~20</w:t>
      </w:r>
      <w:r>
        <w:rPr>
          <w:rFonts w:hint="eastAsia"/>
          <w:color w:val="auto"/>
          <w:highlight w:val="none"/>
          <w:lang w:val="en-US" w:eastAsia="zh-CN"/>
        </w:rPr>
        <w:t>22</w:t>
      </w:r>
      <w:r>
        <w:rPr>
          <w:rFonts w:hint="eastAsia"/>
          <w:color w:val="auto"/>
          <w:highlight w:val="none"/>
        </w:rPr>
        <w:t>年，咸宁高新区规上</w:t>
      </w:r>
      <w:r>
        <w:rPr>
          <w:color w:val="auto"/>
          <w:highlight w:val="none"/>
        </w:rPr>
        <w:t>企业工业总产值如下表所示：</w:t>
      </w:r>
    </w:p>
    <w:p>
      <w:pPr>
        <w:pStyle w:val="9"/>
        <w:keepNext/>
        <w:rPr>
          <w:rFonts w:hint="eastAsia" w:eastAsia="黑体"/>
          <w:color w:val="auto"/>
          <w:highlight w:val="none"/>
          <w:lang w:val="en-US" w:eastAsia="zh-CN"/>
        </w:rPr>
      </w:pPr>
      <w:r>
        <w:rPr>
          <w:rFonts w:hint="eastAsia"/>
          <w:color w:val="auto"/>
          <w:highlight w:val="none"/>
        </w:rPr>
        <w:t xml:space="preserve">表2-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表2-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lang w:val="en-US" w:eastAsia="zh-CN"/>
        </w:rPr>
        <w:t xml:space="preserve"> </w:t>
      </w:r>
      <w:r>
        <w:rPr>
          <w:rFonts w:hint="eastAsia"/>
          <w:color w:val="auto"/>
          <w:highlight w:val="none"/>
        </w:rPr>
        <w:t>20</w:t>
      </w:r>
      <w:r>
        <w:rPr>
          <w:rFonts w:hint="eastAsia"/>
          <w:color w:val="auto"/>
          <w:highlight w:val="none"/>
          <w:lang w:val="en-US" w:eastAsia="zh-CN"/>
        </w:rPr>
        <w:t>20</w:t>
      </w:r>
      <w:r>
        <w:rPr>
          <w:color w:val="auto"/>
          <w:highlight w:val="none"/>
        </w:rPr>
        <w:t>~20</w:t>
      </w:r>
      <w:r>
        <w:rPr>
          <w:rFonts w:hint="eastAsia"/>
          <w:color w:val="auto"/>
          <w:highlight w:val="none"/>
          <w:lang w:val="en-US" w:eastAsia="zh-CN"/>
        </w:rPr>
        <w:t>22</w:t>
      </w:r>
      <w:r>
        <w:rPr>
          <w:rFonts w:hint="eastAsia"/>
          <w:color w:val="auto"/>
          <w:highlight w:val="none"/>
        </w:rPr>
        <w:t>年高新区规上</w:t>
      </w:r>
      <w:r>
        <w:rPr>
          <w:color w:val="auto"/>
          <w:highlight w:val="none"/>
        </w:rPr>
        <w:t>企业工业产值指标</w:t>
      </w:r>
      <w:r>
        <w:rPr>
          <w:rFonts w:hint="eastAsia"/>
          <w:color w:val="auto"/>
          <w:highlight w:val="none"/>
          <w:lang w:val="en-US" w:eastAsia="zh-CN"/>
        </w:rPr>
        <w:t>表</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62"/>
        <w:gridCol w:w="1766"/>
        <w:gridCol w:w="1766"/>
        <w:gridCol w:w="1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831" w:type="pct"/>
            <w:vAlign w:val="center"/>
          </w:tcPr>
          <w:p>
            <w:pPr>
              <w:spacing w:line="240" w:lineRule="auto"/>
              <w:ind w:firstLine="0" w:firstLineChars="0"/>
              <w:jc w:val="center"/>
              <w:rPr>
                <w:b/>
                <w:color w:val="auto"/>
                <w:sz w:val="24"/>
                <w:highlight w:val="none"/>
              </w:rPr>
            </w:pPr>
            <w:r>
              <w:rPr>
                <w:rFonts w:hint="eastAsia"/>
                <w:b/>
                <w:color w:val="auto"/>
                <w:sz w:val="24"/>
                <w:highlight w:val="none"/>
              </w:rPr>
              <w:t>年度</w:t>
            </w:r>
          </w:p>
        </w:tc>
        <w:tc>
          <w:tcPr>
            <w:tcW w:w="1056"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2020</w:t>
            </w:r>
          </w:p>
        </w:tc>
        <w:tc>
          <w:tcPr>
            <w:tcW w:w="1056"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2021</w:t>
            </w:r>
          </w:p>
        </w:tc>
        <w:tc>
          <w:tcPr>
            <w:tcW w:w="1055"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831"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园区生产总值（亿元）</w:t>
            </w:r>
          </w:p>
        </w:tc>
        <w:tc>
          <w:tcPr>
            <w:tcW w:w="1056" w:type="pct"/>
            <w:vAlign w:val="center"/>
          </w:tcPr>
          <w:p>
            <w:pPr>
              <w:spacing w:line="240" w:lineRule="auto"/>
              <w:ind w:firstLine="0" w:firstLineChars="0"/>
              <w:jc w:val="center"/>
              <w:rPr>
                <w:color w:val="auto"/>
                <w:sz w:val="24"/>
                <w:highlight w:val="none"/>
              </w:rPr>
            </w:pPr>
            <w:r>
              <w:rPr>
                <w:rFonts w:hint="eastAsia"/>
                <w:color w:val="auto"/>
                <w:sz w:val="24"/>
                <w:highlight w:val="none"/>
                <w:lang w:val="en-US" w:eastAsia="zh-CN"/>
              </w:rPr>
              <w:t>152.18</w:t>
            </w:r>
          </w:p>
        </w:tc>
        <w:tc>
          <w:tcPr>
            <w:tcW w:w="1056"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178.73</w:t>
            </w:r>
          </w:p>
        </w:tc>
        <w:tc>
          <w:tcPr>
            <w:tcW w:w="1055"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187.66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831"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规模以上工业总产值（亿元）</w:t>
            </w:r>
          </w:p>
        </w:tc>
        <w:tc>
          <w:tcPr>
            <w:tcW w:w="1056"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386.62</w:t>
            </w:r>
          </w:p>
        </w:tc>
        <w:tc>
          <w:tcPr>
            <w:tcW w:w="1056"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443.47</w:t>
            </w:r>
          </w:p>
        </w:tc>
        <w:tc>
          <w:tcPr>
            <w:tcW w:w="1055" w:type="pct"/>
            <w:vAlign w:val="center"/>
          </w:tcPr>
          <w:p>
            <w:pPr>
              <w:spacing w:line="240" w:lineRule="auto"/>
              <w:ind w:firstLine="0" w:firstLineChars="0"/>
              <w:jc w:val="center"/>
              <w:rPr>
                <w:color w:val="auto"/>
                <w:sz w:val="24"/>
                <w:highlight w:val="none"/>
              </w:rPr>
            </w:pPr>
            <w:r>
              <w:rPr>
                <w:rFonts w:hint="eastAsia"/>
                <w:color w:val="auto"/>
                <w:sz w:val="24"/>
                <w:highlight w:val="none"/>
              </w:rPr>
              <w:t>456.77</w:t>
            </w:r>
          </w:p>
        </w:tc>
      </w:tr>
    </w:tbl>
    <w:p>
      <w:pPr>
        <w:spacing w:line="240" w:lineRule="auto"/>
        <w:ind w:firstLine="0" w:firstLineChars="0"/>
        <w:rPr>
          <w:color w:val="auto"/>
          <w:sz w:val="22"/>
          <w:highlight w:val="none"/>
        </w:rPr>
      </w:pPr>
    </w:p>
    <w:p>
      <w:pPr>
        <w:ind w:firstLine="560"/>
        <w:rPr>
          <w:color w:val="auto"/>
          <w:highlight w:val="none"/>
        </w:rPr>
      </w:pPr>
      <w:r>
        <w:rPr>
          <w:rFonts w:hint="eastAsia"/>
          <w:color w:val="auto"/>
          <w:highlight w:val="none"/>
          <w:lang w:val="en-US" w:eastAsia="zh-CN"/>
        </w:rPr>
        <w:t>2022</w:t>
      </w:r>
      <w:r>
        <w:rPr>
          <w:rFonts w:hint="eastAsia"/>
          <w:color w:val="auto"/>
          <w:highlight w:val="none"/>
        </w:rPr>
        <w:t>年，</w:t>
      </w:r>
      <w:r>
        <w:rPr>
          <w:color w:val="auto"/>
          <w:highlight w:val="none"/>
        </w:rPr>
        <w:t>咸宁高新区</w:t>
      </w:r>
      <w:r>
        <w:rPr>
          <w:rFonts w:hint="eastAsia"/>
          <w:color w:val="auto"/>
          <w:highlight w:val="none"/>
        </w:rPr>
        <w:t>主导</w:t>
      </w:r>
      <w:r>
        <w:rPr>
          <w:color w:val="auto"/>
          <w:highlight w:val="none"/>
        </w:rPr>
        <w:t>产业产值情况如下表所示：</w:t>
      </w:r>
    </w:p>
    <w:p>
      <w:pPr>
        <w:pStyle w:val="9"/>
        <w:keepNext/>
        <w:rPr>
          <w:rFonts w:hint="eastAsia" w:eastAsia="黑体"/>
          <w:color w:val="auto"/>
          <w:highlight w:val="none"/>
          <w:lang w:val="en-US" w:eastAsia="zh-CN"/>
        </w:rPr>
      </w:pPr>
      <w:r>
        <w:rPr>
          <w:rFonts w:hint="eastAsia"/>
          <w:color w:val="auto"/>
          <w:highlight w:val="none"/>
        </w:rPr>
        <w:t xml:space="preserve">表2-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表2- \* ARABIC</w:instrText>
      </w:r>
      <w:r>
        <w:rPr>
          <w:color w:val="auto"/>
          <w:highlight w:val="none"/>
        </w:rPr>
        <w:instrText xml:space="preserve"> </w:instrText>
      </w:r>
      <w:r>
        <w:rPr>
          <w:color w:val="auto"/>
          <w:highlight w:val="none"/>
        </w:rPr>
        <w:fldChar w:fldCharType="separate"/>
      </w:r>
      <w:r>
        <w:rPr>
          <w:rFonts w:hint="eastAsia"/>
          <w:color w:val="auto"/>
          <w:highlight w:val="none"/>
        </w:rPr>
        <w:t>2</w:t>
      </w:r>
      <w:r>
        <w:rPr>
          <w:color w:val="auto"/>
          <w:highlight w:val="none"/>
        </w:rPr>
        <w:fldChar w:fldCharType="end"/>
      </w:r>
      <w:r>
        <w:rPr>
          <w:rFonts w:hint="eastAsia"/>
          <w:color w:val="auto"/>
          <w:highlight w:val="none"/>
          <w:lang w:val="en-US" w:eastAsia="zh-CN"/>
        </w:rPr>
        <w:t xml:space="preserve">  2022</w:t>
      </w:r>
      <w:r>
        <w:rPr>
          <w:rFonts w:hint="eastAsia"/>
          <w:color w:val="auto"/>
          <w:highlight w:val="none"/>
        </w:rPr>
        <w:t>年高新区主导产业产值情况</w:t>
      </w:r>
      <w:r>
        <w:rPr>
          <w:rFonts w:hint="eastAsia"/>
          <w:color w:val="auto"/>
          <w:highlight w:val="none"/>
          <w:lang w:val="en-US" w:eastAsia="zh-CN"/>
        </w:rPr>
        <w:t>表</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484"/>
        <w:gridCol w:w="1957"/>
        <w:gridCol w:w="1959"/>
        <w:gridCol w:w="1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产业类别</w:t>
            </w:r>
          </w:p>
        </w:tc>
        <w:tc>
          <w:tcPr>
            <w:tcW w:w="1170" w:type="pct"/>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lang w:val="en-US" w:eastAsia="zh-CN"/>
              </w:rPr>
              <w:t>2020</w:t>
            </w:r>
            <w:r>
              <w:rPr>
                <w:rFonts w:hint="eastAsia"/>
                <w:b/>
                <w:color w:val="auto"/>
                <w:sz w:val="24"/>
                <w:szCs w:val="24"/>
                <w:highlight w:val="none"/>
              </w:rPr>
              <w:t>产值</w:t>
            </w:r>
          </w:p>
          <w:p>
            <w:pPr>
              <w:spacing w:line="240" w:lineRule="auto"/>
              <w:ind w:firstLine="0" w:firstLineChars="0"/>
              <w:jc w:val="center"/>
              <w:rPr>
                <w:b/>
                <w:color w:val="auto"/>
                <w:sz w:val="24"/>
                <w:szCs w:val="24"/>
                <w:highlight w:val="none"/>
              </w:rPr>
            </w:pPr>
            <w:r>
              <w:rPr>
                <w:rFonts w:hint="eastAsia"/>
                <w:b/>
                <w:color w:val="auto"/>
                <w:sz w:val="24"/>
                <w:szCs w:val="24"/>
                <w:highlight w:val="none"/>
              </w:rPr>
              <w:t>（</w:t>
            </w:r>
            <w:r>
              <w:rPr>
                <w:rFonts w:hint="eastAsia"/>
                <w:b/>
                <w:color w:val="auto"/>
                <w:sz w:val="24"/>
                <w:szCs w:val="24"/>
                <w:highlight w:val="none"/>
                <w:lang w:val="en-US" w:eastAsia="zh-CN"/>
              </w:rPr>
              <w:t>万</w:t>
            </w:r>
            <w:r>
              <w:rPr>
                <w:rFonts w:hint="eastAsia"/>
                <w:b/>
                <w:color w:val="auto"/>
                <w:sz w:val="24"/>
                <w:szCs w:val="24"/>
                <w:highlight w:val="none"/>
              </w:rPr>
              <w:t>元）</w:t>
            </w:r>
          </w:p>
        </w:tc>
        <w:tc>
          <w:tcPr>
            <w:tcW w:w="1171" w:type="pct"/>
            <w:vAlign w:val="center"/>
          </w:tcPr>
          <w:p>
            <w:pPr>
              <w:spacing w:line="240" w:lineRule="auto"/>
              <w:ind w:firstLine="0" w:firstLineChars="0"/>
              <w:jc w:val="center"/>
              <w:rPr>
                <w:rFonts w:hint="eastAsia"/>
                <w:b/>
                <w:color w:val="auto"/>
                <w:sz w:val="24"/>
                <w:szCs w:val="24"/>
                <w:highlight w:val="none"/>
              </w:rPr>
            </w:pPr>
            <w:r>
              <w:rPr>
                <w:rFonts w:hint="eastAsia"/>
                <w:b/>
                <w:color w:val="auto"/>
                <w:sz w:val="24"/>
                <w:szCs w:val="24"/>
                <w:highlight w:val="none"/>
                <w:lang w:val="en-US" w:eastAsia="zh-CN"/>
              </w:rPr>
              <w:t>2021</w:t>
            </w:r>
            <w:r>
              <w:rPr>
                <w:rFonts w:hint="eastAsia"/>
                <w:b/>
                <w:color w:val="auto"/>
                <w:sz w:val="24"/>
                <w:szCs w:val="24"/>
                <w:highlight w:val="none"/>
              </w:rPr>
              <w:t>产值</w:t>
            </w:r>
          </w:p>
          <w:p>
            <w:pPr>
              <w:spacing w:line="240" w:lineRule="auto"/>
              <w:ind w:firstLine="0" w:firstLineChars="0"/>
              <w:jc w:val="center"/>
              <w:rPr>
                <w:rFonts w:hint="eastAsia"/>
                <w:b/>
                <w:color w:val="auto"/>
                <w:sz w:val="24"/>
                <w:szCs w:val="24"/>
                <w:highlight w:val="none"/>
              </w:rPr>
            </w:pPr>
            <w:r>
              <w:rPr>
                <w:rFonts w:hint="eastAsia"/>
                <w:b/>
                <w:color w:val="auto"/>
                <w:sz w:val="24"/>
                <w:szCs w:val="24"/>
                <w:highlight w:val="none"/>
              </w:rPr>
              <w:t>（万元）</w:t>
            </w:r>
          </w:p>
        </w:tc>
        <w:tc>
          <w:tcPr>
            <w:tcW w:w="1171" w:type="pct"/>
            <w:vAlign w:val="center"/>
          </w:tcPr>
          <w:p>
            <w:pPr>
              <w:spacing w:line="240" w:lineRule="auto"/>
              <w:ind w:firstLine="0" w:firstLineChars="0"/>
              <w:jc w:val="center"/>
              <w:rPr>
                <w:rFonts w:hint="eastAsia"/>
                <w:b/>
                <w:color w:val="auto"/>
                <w:sz w:val="24"/>
                <w:szCs w:val="24"/>
                <w:highlight w:val="none"/>
              </w:rPr>
            </w:pPr>
            <w:r>
              <w:rPr>
                <w:rFonts w:hint="eastAsia"/>
                <w:b/>
                <w:color w:val="auto"/>
                <w:sz w:val="24"/>
                <w:szCs w:val="24"/>
                <w:highlight w:val="none"/>
                <w:lang w:val="en-US" w:eastAsia="zh-CN"/>
              </w:rPr>
              <w:t>2022</w:t>
            </w:r>
            <w:r>
              <w:rPr>
                <w:rFonts w:hint="eastAsia"/>
                <w:b/>
                <w:color w:val="auto"/>
                <w:sz w:val="24"/>
                <w:szCs w:val="24"/>
                <w:highlight w:val="none"/>
              </w:rPr>
              <w:t>产值</w:t>
            </w:r>
          </w:p>
          <w:p>
            <w:pPr>
              <w:spacing w:line="240" w:lineRule="auto"/>
              <w:ind w:firstLine="0" w:firstLineChars="0"/>
              <w:jc w:val="center"/>
              <w:rPr>
                <w:rFonts w:hint="eastAsia"/>
                <w:b/>
                <w:color w:val="auto"/>
                <w:sz w:val="24"/>
                <w:szCs w:val="24"/>
                <w:highlight w:val="none"/>
              </w:rPr>
            </w:pPr>
            <w:r>
              <w:rPr>
                <w:rFonts w:hint="eastAsia"/>
                <w:b/>
                <w:color w:val="auto"/>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食品</w:t>
            </w:r>
            <w:r>
              <w:rPr>
                <w:color w:val="auto"/>
                <w:sz w:val="24"/>
                <w:szCs w:val="24"/>
                <w:highlight w:val="none"/>
              </w:rPr>
              <w:t>饮料</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511906</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542287</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545858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生物医疗</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292287</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222803</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265857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先进</w:t>
            </w:r>
            <w:r>
              <w:rPr>
                <w:color w:val="auto"/>
                <w:sz w:val="24"/>
                <w:szCs w:val="24"/>
                <w:highlight w:val="none"/>
              </w:rPr>
              <w:t>制造</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288263</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280996</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299660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电子</w:t>
            </w:r>
            <w:r>
              <w:rPr>
                <w:color w:val="auto"/>
                <w:sz w:val="24"/>
                <w:szCs w:val="24"/>
                <w:highlight w:val="none"/>
              </w:rPr>
              <w:t>信息</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156567</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241891</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204050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新材料</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289177</w:t>
            </w:r>
          </w:p>
        </w:tc>
        <w:tc>
          <w:tcPr>
            <w:tcW w:w="1171" w:type="pct"/>
            <w:vAlign w:val="center"/>
          </w:tcPr>
          <w:p>
            <w:pPr>
              <w:spacing w:line="240" w:lineRule="auto"/>
              <w:ind w:firstLine="0" w:firstLineChars="0"/>
              <w:jc w:val="center"/>
              <w:rPr>
                <w:rFonts w:hint="eastAsia"/>
                <w:color w:val="auto"/>
                <w:sz w:val="24"/>
                <w:szCs w:val="24"/>
                <w:highlight w:val="none"/>
              </w:rPr>
            </w:pPr>
            <w:r>
              <w:rPr>
                <w:rFonts w:hint="default"/>
                <w:color w:val="auto"/>
                <w:sz w:val="24"/>
                <w:szCs w:val="24"/>
                <w:highlight w:val="none"/>
              </w:rPr>
              <w:t>418077</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451932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包装</w:t>
            </w:r>
            <w:r>
              <w:rPr>
                <w:color w:val="auto"/>
                <w:sz w:val="24"/>
                <w:szCs w:val="24"/>
                <w:highlight w:val="none"/>
              </w:rPr>
              <w:t>印刷</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243655</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307975</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278015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服装</w:t>
            </w:r>
            <w:r>
              <w:rPr>
                <w:color w:val="auto"/>
                <w:sz w:val="24"/>
                <w:szCs w:val="24"/>
                <w:highlight w:val="none"/>
              </w:rPr>
              <w:t>纺织</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30257</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43170</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34013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家具森</w:t>
            </w:r>
            <w:r>
              <w:rPr>
                <w:color w:val="auto"/>
                <w:sz w:val="24"/>
                <w:szCs w:val="24"/>
                <w:highlight w:val="none"/>
              </w:rPr>
              <w:t>工</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110703</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150961</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148043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合计</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1922815</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2208160</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2227428</w:t>
            </w:r>
          </w:p>
        </w:tc>
      </w:tr>
    </w:tbl>
    <w:p>
      <w:pPr>
        <w:spacing w:line="240" w:lineRule="auto"/>
        <w:ind w:firstLine="0" w:firstLineChars="0"/>
        <w:rPr>
          <w:color w:val="auto"/>
          <w:sz w:val="16"/>
          <w:highlight w:val="none"/>
        </w:rPr>
      </w:pPr>
    </w:p>
    <w:p>
      <w:pPr>
        <w:spacing w:line="240" w:lineRule="auto"/>
        <w:ind w:firstLine="0" w:firstLineChars="0"/>
        <w:rPr>
          <w:color w:val="auto"/>
          <w:sz w:val="16"/>
          <w:highlight w:val="none"/>
        </w:rPr>
      </w:pPr>
    </w:p>
    <w:p>
      <w:pPr>
        <w:pStyle w:val="3"/>
        <w:numPr>
          <w:ilvl w:val="1"/>
          <w:numId w:val="2"/>
        </w:numPr>
        <w:ind w:left="567" w:hanging="567"/>
        <w:rPr>
          <w:color w:val="auto"/>
          <w:highlight w:val="none"/>
        </w:rPr>
      </w:pPr>
      <w:bookmarkStart w:id="25" w:name="_Toc27201"/>
      <w:r>
        <w:rPr>
          <w:rFonts w:hint="eastAsia"/>
          <w:color w:val="auto"/>
          <w:highlight w:val="none"/>
        </w:rPr>
        <w:t>区域产业发展规划</w:t>
      </w:r>
      <w:bookmarkEnd w:id="25"/>
    </w:p>
    <w:p>
      <w:pPr>
        <w:pStyle w:val="4"/>
        <w:numPr>
          <w:ilvl w:val="2"/>
          <w:numId w:val="2"/>
        </w:numPr>
        <w:ind w:left="709" w:hanging="709"/>
        <w:rPr>
          <w:rFonts w:hint="eastAsia"/>
          <w:color w:val="auto"/>
          <w:highlight w:val="none"/>
          <w:lang w:val="en-US" w:eastAsia="zh-CN"/>
        </w:rPr>
      </w:pPr>
      <w:bookmarkStart w:id="26" w:name="_Toc30030"/>
      <w:r>
        <w:rPr>
          <w:rFonts w:hint="eastAsia" w:ascii="Times New Roman" w:hAnsi="Times New Roman" w:eastAsia="宋体" w:cs="Times New Roman"/>
          <w:color w:val="auto"/>
          <w:highlight w:val="none"/>
          <w:lang w:val="en-US" w:eastAsia="zh-CN"/>
        </w:rPr>
        <w:t>发展</w:t>
      </w:r>
      <w:r>
        <w:rPr>
          <w:rFonts w:hint="eastAsia"/>
          <w:color w:val="auto"/>
          <w:szCs w:val="18"/>
          <w:highlight w:val="none"/>
          <w:lang w:val="en-US" w:eastAsia="zh-CN"/>
        </w:rPr>
        <w:t>目标</w:t>
      </w:r>
      <w:bookmarkEnd w:id="26"/>
    </w:p>
    <w:p>
      <w:pPr>
        <w:rPr>
          <w:rFonts w:hint="eastAsia"/>
          <w:color w:val="auto"/>
          <w:szCs w:val="18"/>
          <w:highlight w:val="none"/>
          <w:lang w:val="en-US" w:eastAsia="zh-CN"/>
        </w:rPr>
      </w:pPr>
      <w:r>
        <w:rPr>
          <w:rFonts w:hint="eastAsia"/>
          <w:color w:val="auto"/>
          <w:szCs w:val="18"/>
          <w:highlight w:val="none"/>
          <w:lang w:val="en-US" w:eastAsia="zh-CN"/>
        </w:rPr>
        <w:t>根据《光谷科技创新大走廊咸宁功能区发展规划（2021-2035年）》提出：</w:t>
      </w:r>
    </w:p>
    <w:p>
      <w:pPr>
        <w:rPr>
          <w:rFonts w:hint="eastAsia"/>
          <w:color w:val="auto"/>
          <w:szCs w:val="18"/>
          <w:highlight w:val="none"/>
          <w:lang w:val="en-US" w:eastAsia="zh-CN"/>
        </w:rPr>
      </w:pPr>
      <w:r>
        <w:rPr>
          <w:rFonts w:hint="eastAsia"/>
          <w:color w:val="auto"/>
          <w:szCs w:val="18"/>
          <w:highlight w:val="none"/>
          <w:lang w:val="en-US" w:eastAsia="zh-CN"/>
        </w:rPr>
        <w:t>力争到2025年，咸宁高新技术产业开发区大健康产业产值达到130亿元，智能产业产值达到110亿元，新材料产业产值达到50亿元，光电子信息产业产值达到25亿元，高新技术企业数量达到110家，高新技术产业增加值占GDP比重达到45%，研究与试验经费占GDP比重达到6%。</w:t>
      </w:r>
    </w:p>
    <w:p>
      <w:pPr>
        <w:pStyle w:val="4"/>
        <w:numPr>
          <w:ilvl w:val="2"/>
          <w:numId w:val="2"/>
        </w:numPr>
        <w:ind w:left="709" w:hanging="709"/>
        <w:rPr>
          <w:rFonts w:hint="eastAsia"/>
          <w:color w:val="auto"/>
          <w:szCs w:val="18"/>
          <w:highlight w:val="none"/>
          <w:lang w:val="en-US" w:eastAsia="zh-CN"/>
        </w:rPr>
      </w:pPr>
      <w:bookmarkStart w:id="27" w:name="_Toc2521"/>
      <w:r>
        <w:rPr>
          <w:rFonts w:hint="eastAsia"/>
          <w:color w:val="auto"/>
          <w:szCs w:val="18"/>
          <w:highlight w:val="none"/>
          <w:lang w:val="en-US" w:eastAsia="zh-CN"/>
        </w:rPr>
        <w:t>重点产业</w:t>
      </w:r>
      <w:bookmarkEnd w:id="27"/>
    </w:p>
    <w:p>
      <w:pPr>
        <w:pStyle w:val="5"/>
        <w:numPr>
          <w:ilvl w:val="3"/>
          <w:numId w:val="2"/>
        </w:numPr>
        <w:ind w:left="850" w:hanging="850" w:firstLineChars="0"/>
        <w:rPr>
          <w:rFonts w:hint="eastAsia"/>
          <w:color w:val="auto"/>
          <w:szCs w:val="18"/>
          <w:highlight w:val="none"/>
          <w:lang w:val="en-US" w:eastAsia="zh-CN"/>
        </w:rPr>
      </w:pPr>
      <w:r>
        <w:rPr>
          <w:rFonts w:hint="eastAsia"/>
          <w:color w:val="auto"/>
          <w:szCs w:val="18"/>
          <w:highlight w:val="none"/>
          <w:lang w:val="en-US" w:eastAsia="zh-CN"/>
        </w:rPr>
        <w:t>大健康产业</w:t>
      </w:r>
    </w:p>
    <w:p>
      <w:pPr>
        <w:rPr>
          <w:rFonts w:hint="eastAsia"/>
          <w:color w:val="auto"/>
          <w:szCs w:val="18"/>
          <w:highlight w:val="none"/>
          <w:lang w:val="en-US" w:eastAsia="zh-CN"/>
        </w:rPr>
      </w:pPr>
      <w:r>
        <w:rPr>
          <w:rFonts w:hint="eastAsia"/>
          <w:color w:val="auto"/>
          <w:szCs w:val="18"/>
          <w:highlight w:val="none"/>
          <w:lang w:val="en-US" w:eastAsia="zh-CN"/>
        </w:rPr>
        <w:t>产业方向：重点发展地方特色的功能饮料、新型保健食品、高端休闲食品等健康食品饮料产业，新生物医药产品、新型制剂、生物酶、维生素生物制药、现代中药等生物医药产业，医用抗疫产品、可降解高科技生物敷料、新型医用卫生材料、数字化医疗器械等医疗器械产业。</w:t>
      </w:r>
    </w:p>
    <w:p>
      <w:pPr>
        <w:rPr>
          <w:rFonts w:hint="eastAsia"/>
          <w:color w:val="auto"/>
          <w:szCs w:val="18"/>
          <w:highlight w:val="none"/>
          <w:lang w:val="en-US" w:eastAsia="zh-CN"/>
        </w:rPr>
      </w:pPr>
      <w:r>
        <w:rPr>
          <w:rFonts w:hint="eastAsia"/>
          <w:color w:val="auto"/>
          <w:szCs w:val="18"/>
          <w:highlight w:val="none"/>
          <w:lang w:val="en-US" w:eastAsia="zh-CN"/>
        </w:rPr>
        <w:t>发展路径：积极对接光谷生物城、武汉生物技术研究院等，搭建科研成果转化公共平台，鼓励并支持成熟科研成果来园区转移转化，聚焦食品饮料、生物医药、现代中药、医疗器械等领域，发展有区域影响力的生物医药和医疗器械产业集群，打造全国有影响力、配套完善的生命健康产业基地。推动咸宁高新区生命健康产业园专业化、高端化、持续性发展，参照国内先进生物医药园区建设经验，高标准建设生命健康产业园起步区，加快“四通一平”基础设施建设，建设GMP厂房、车间等，完善办公和生活配套区建设，提高园区产业承载能力。鼓励厚福医疗等企业加入医疗器械产业技术创新联盟，合作共同攻克产业链中的瓶颈技术和关键部件，提升产业本地化配套能力，扩展产业链深度和广度。</w:t>
      </w:r>
    </w:p>
    <w:p>
      <w:pPr>
        <w:pStyle w:val="5"/>
        <w:numPr>
          <w:ilvl w:val="3"/>
          <w:numId w:val="2"/>
        </w:numPr>
        <w:ind w:left="850" w:hanging="850" w:firstLineChars="0"/>
        <w:rPr>
          <w:rFonts w:hint="eastAsia"/>
          <w:color w:val="auto"/>
          <w:szCs w:val="18"/>
          <w:highlight w:val="none"/>
          <w:lang w:val="en-US" w:eastAsia="zh-CN"/>
        </w:rPr>
      </w:pPr>
      <w:r>
        <w:rPr>
          <w:rFonts w:hint="eastAsia"/>
          <w:color w:val="auto"/>
          <w:szCs w:val="18"/>
          <w:highlight w:val="none"/>
          <w:lang w:val="en-US" w:eastAsia="zh-CN"/>
        </w:rPr>
        <w:t>光电子</w:t>
      </w:r>
      <w:r>
        <w:rPr>
          <w:rFonts w:hint="eastAsia"/>
          <w:color w:val="auto"/>
          <w:highlight w:val="none"/>
          <w:lang w:val="en-US" w:eastAsia="zh-CN"/>
        </w:rPr>
        <w:t>信息</w:t>
      </w:r>
      <w:r>
        <w:rPr>
          <w:rFonts w:hint="eastAsia"/>
          <w:color w:val="auto"/>
          <w:szCs w:val="18"/>
          <w:highlight w:val="none"/>
          <w:lang w:val="en-US" w:eastAsia="zh-CN"/>
        </w:rPr>
        <w:t>产业</w:t>
      </w:r>
    </w:p>
    <w:p>
      <w:pPr>
        <w:rPr>
          <w:rFonts w:hint="eastAsia"/>
          <w:color w:val="auto"/>
          <w:szCs w:val="18"/>
          <w:highlight w:val="none"/>
          <w:lang w:val="en-US" w:eastAsia="zh-CN"/>
        </w:rPr>
      </w:pPr>
      <w:r>
        <w:rPr>
          <w:rFonts w:hint="eastAsia"/>
          <w:color w:val="auto"/>
          <w:szCs w:val="18"/>
          <w:highlight w:val="none"/>
          <w:lang w:val="en-US" w:eastAsia="zh-CN"/>
        </w:rPr>
        <w:t>产业方向：重点发展新型显示面板、移动互联、光能源、光电器件、5G建设及应用等产业。</w:t>
      </w:r>
    </w:p>
    <w:p>
      <w:pPr>
        <w:rPr>
          <w:rFonts w:hint="eastAsia"/>
          <w:color w:val="auto"/>
          <w:szCs w:val="18"/>
          <w:highlight w:val="none"/>
          <w:lang w:val="en-US" w:eastAsia="zh-CN"/>
        </w:rPr>
      </w:pPr>
      <w:r>
        <w:rPr>
          <w:rFonts w:hint="eastAsia"/>
          <w:color w:val="auto"/>
          <w:szCs w:val="18"/>
          <w:highlight w:val="none"/>
          <w:lang w:val="en-US" w:eastAsia="zh-CN"/>
        </w:rPr>
        <w:t>发展路径：全面对接“中国光谷”光电子信息产业资源，立足光电器件、智能终端等领域产业外溢和制造配套需求，强化利用“中国光谷”光电子信息领域创新资源，主动承接产业转移，对接国家存储器基地、华星光电新型显示等光谷重大产业项目，力争引进配套产业集群，探索与光谷共建产业园。加大光电子信息产业扶持力度，设立咸宁高新区光电子信息产业专项基金，加深园区与科教新城合作，培养光电子信息产业高素质劳动者，对本地职业培训、异地技能人才集中引进给予补贴。鼓励园区企业对接光谷光电信息产业联盟等产业联盟和全国性行业协会，主动参与联盟活动，对接联盟、行会资源。集中征集弈宏精密制造、三赢兴、光宝科技、南玻光电、智莱科技等本地重点企业产业链配套需求，以咸宁高新区光电子信息产业园集体品牌争取集成电路、光电显示、智慧城市、智能电网等领域上下游合作伙伴落户。</w:t>
      </w:r>
    </w:p>
    <w:p>
      <w:pPr>
        <w:pStyle w:val="5"/>
        <w:numPr>
          <w:ilvl w:val="3"/>
          <w:numId w:val="2"/>
        </w:numPr>
        <w:ind w:left="850" w:hanging="850" w:firstLineChars="0"/>
        <w:rPr>
          <w:rFonts w:hint="eastAsia" w:ascii="Times New Roman" w:hAnsi="Times New Roman"/>
          <w:color w:val="auto"/>
          <w:szCs w:val="18"/>
          <w:highlight w:val="none"/>
          <w:lang w:val="en-US" w:eastAsia="zh-CN"/>
        </w:rPr>
      </w:pPr>
      <w:r>
        <w:rPr>
          <w:rFonts w:hint="eastAsia" w:ascii="Times New Roman" w:hAnsi="Times New Roman"/>
          <w:color w:val="auto"/>
          <w:szCs w:val="18"/>
          <w:highlight w:val="none"/>
          <w:lang w:val="en-US" w:eastAsia="zh-CN"/>
        </w:rPr>
        <w:t>新材料产业</w:t>
      </w:r>
    </w:p>
    <w:p>
      <w:pPr>
        <w:rPr>
          <w:rFonts w:hint="eastAsia"/>
          <w:color w:val="auto"/>
          <w:szCs w:val="18"/>
          <w:highlight w:val="none"/>
          <w:lang w:val="en-US" w:eastAsia="zh-CN"/>
        </w:rPr>
      </w:pPr>
      <w:r>
        <w:rPr>
          <w:rFonts w:hint="eastAsia"/>
          <w:color w:val="auto"/>
          <w:szCs w:val="18"/>
          <w:highlight w:val="none"/>
          <w:lang w:val="en-US" w:eastAsia="zh-CN"/>
        </w:rPr>
        <w:t>产业方向：重点发展复合材料与智能材料、生物降解材料、绿色环保材料、无机防腐涂料、高性能结构材料、高端金属材料等产业。</w:t>
      </w:r>
    </w:p>
    <w:p>
      <w:pPr>
        <w:rPr>
          <w:rFonts w:hint="eastAsia"/>
          <w:color w:val="auto"/>
          <w:szCs w:val="18"/>
          <w:highlight w:val="none"/>
          <w:lang w:val="en-US" w:eastAsia="zh-CN"/>
        </w:rPr>
      </w:pPr>
      <w:r>
        <w:rPr>
          <w:rFonts w:hint="eastAsia"/>
          <w:color w:val="auto"/>
          <w:szCs w:val="18"/>
          <w:highlight w:val="none"/>
          <w:lang w:val="en-US" w:eastAsia="zh-CN"/>
        </w:rPr>
        <w:t>发展路径：以传统材料绿色化为核心，以提质增效促进产业转型升级为主线，依托南玻玻璃、南玻节能玻璃、南玻光电玻璃、立邦新材料、海威复合材料等园区重点支柱企业，大力发展先进复合材料与智能材料以及生物降解材料、绿色环保材料、无机防腐涂料等战略新材料，对高性能结构材料和高端金属材料进行前瞻布局，培育现代中医药、医疗卫生材料产业，大力发展生物科技、新能源、新型电子材料及类似制品等产业，着力掌握关键核心技术，突破发展新材料规模化制备装备，打造华中地区有影响力的新材料产业基地。</w:t>
      </w:r>
    </w:p>
    <w:p>
      <w:pPr>
        <w:pStyle w:val="5"/>
        <w:numPr>
          <w:ilvl w:val="3"/>
          <w:numId w:val="2"/>
        </w:numPr>
        <w:ind w:left="850" w:hanging="850" w:firstLineChars="0"/>
        <w:rPr>
          <w:rFonts w:hint="eastAsia" w:ascii="Times New Roman" w:hAnsi="Times New Roman"/>
          <w:color w:val="auto"/>
          <w:szCs w:val="18"/>
          <w:highlight w:val="none"/>
          <w:lang w:val="en-US" w:eastAsia="zh-CN"/>
        </w:rPr>
      </w:pPr>
      <w:r>
        <w:rPr>
          <w:rFonts w:hint="eastAsia" w:ascii="Times New Roman" w:hAnsi="Times New Roman"/>
          <w:color w:val="auto"/>
          <w:szCs w:val="18"/>
          <w:highlight w:val="none"/>
          <w:lang w:val="en-US" w:eastAsia="zh-CN"/>
        </w:rPr>
        <w:t>智能产业</w:t>
      </w:r>
    </w:p>
    <w:p>
      <w:pPr>
        <w:rPr>
          <w:rFonts w:hint="eastAsia"/>
          <w:color w:val="auto"/>
          <w:szCs w:val="18"/>
          <w:highlight w:val="none"/>
          <w:lang w:val="en-US" w:eastAsia="zh-CN"/>
        </w:rPr>
      </w:pPr>
      <w:r>
        <w:rPr>
          <w:rFonts w:hint="eastAsia"/>
          <w:color w:val="auto"/>
          <w:szCs w:val="18"/>
          <w:highlight w:val="none"/>
          <w:lang w:val="en-US" w:eastAsia="zh-CN"/>
        </w:rPr>
        <w:t>产业方向：重点发展智能机电产业，积极拓展智慧医疗、智能数字设计与建造、智能网联汽车等产业，重点开发智能家电、智能家居、数字家庭、智慧医疗、智能机器人、智能数控机床、无人机、物联网终端等智能终端产品。</w:t>
      </w:r>
    </w:p>
    <w:p>
      <w:pPr>
        <w:rPr>
          <w:rFonts w:hint="eastAsia"/>
          <w:color w:val="auto"/>
          <w:szCs w:val="18"/>
          <w:highlight w:val="none"/>
          <w:lang w:val="en-US" w:eastAsia="zh-CN"/>
        </w:rPr>
      </w:pPr>
      <w:r>
        <w:rPr>
          <w:rFonts w:hint="eastAsia"/>
          <w:color w:val="auto"/>
          <w:szCs w:val="18"/>
          <w:highlight w:val="none"/>
          <w:lang w:val="en-US" w:eastAsia="zh-CN"/>
        </w:rPr>
        <w:t>发展路径：以国家级智能机电创新型产业集群建设为契机，大力推进咸宁智能机电产业技术研究院创新型平台建设，联合华中科技大学、武汉理工大学、武汉纺织大学等高校和科研院所的科技创新资源，建立机电行业协会，实现规范发展，加快三环方向机、合加新能源、北辰转向、厚福医疗等重点企业研发创新及产品转型升级。加快突破新型人机交互、VR/AR等技术在高端智能新产品中的推广应用，支持智能终端企业带动上下游配套企业集聚，积极发展智能产业电子电器零部件及配套产业，打造完整产业链集群，提高产业要素聚集优势，提升区域产业竞争力。加快天网、智能电网、车联网、电商网、物流网等智慧城市领域的智能网络建设。</w:t>
      </w:r>
    </w:p>
    <w:p>
      <w:pPr>
        <w:pStyle w:val="5"/>
        <w:numPr>
          <w:ilvl w:val="3"/>
          <w:numId w:val="2"/>
        </w:numPr>
        <w:ind w:left="850" w:hanging="850" w:firstLineChars="0"/>
        <w:rPr>
          <w:rFonts w:hint="eastAsia" w:ascii="Times New Roman" w:hAnsi="Times New Roman"/>
          <w:color w:val="auto"/>
          <w:szCs w:val="18"/>
          <w:highlight w:val="none"/>
          <w:lang w:val="en-US" w:eastAsia="zh-CN"/>
        </w:rPr>
      </w:pPr>
      <w:r>
        <w:rPr>
          <w:rFonts w:hint="eastAsia" w:ascii="Times New Roman" w:hAnsi="Times New Roman"/>
          <w:color w:val="auto"/>
          <w:szCs w:val="18"/>
          <w:highlight w:val="none"/>
          <w:lang w:val="en-US" w:eastAsia="zh-CN"/>
        </w:rPr>
        <w:t>现代服务业</w:t>
      </w:r>
    </w:p>
    <w:p>
      <w:pPr>
        <w:rPr>
          <w:rFonts w:hint="eastAsia"/>
          <w:color w:val="auto"/>
          <w:szCs w:val="18"/>
          <w:highlight w:val="none"/>
          <w:lang w:val="en-US" w:eastAsia="zh-CN"/>
        </w:rPr>
      </w:pPr>
      <w:r>
        <w:rPr>
          <w:rFonts w:hint="eastAsia"/>
          <w:color w:val="auto"/>
          <w:szCs w:val="18"/>
          <w:highlight w:val="none"/>
          <w:lang w:val="en-US" w:eastAsia="zh-CN"/>
        </w:rPr>
        <w:t>产业方向：重点发展现代金融、现代物流、研发设计、检验检测、高端商务、人力资源等知识密集型生产性服务业，构建全产业链区域服务体系，同时重点发展文化产业。</w:t>
      </w:r>
    </w:p>
    <w:p>
      <w:pPr>
        <w:rPr>
          <w:rFonts w:hint="eastAsia"/>
          <w:color w:val="auto"/>
          <w:szCs w:val="18"/>
          <w:highlight w:val="none"/>
          <w:lang w:val="en-US" w:eastAsia="zh-CN"/>
        </w:rPr>
      </w:pPr>
      <w:r>
        <w:rPr>
          <w:rFonts w:hint="eastAsia"/>
          <w:color w:val="auto"/>
          <w:szCs w:val="18"/>
          <w:highlight w:val="none"/>
          <w:lang w:val="en-US" w:eastAsia="zh-CN"/>
        </w:rPr>
        <w:t>发展路径：以金融信息港建设和发展为契机，根据区域产业的金融需求，与光谷金融港对接，积极引进高层次的金融服务机构和平台。引进金融中介服务，建立科技金融信用体系、服务体系等，打造咸宁金融服务创新发展的重要基地。充分发挥已有制造业基础，大力发展工业设计、零部件研发、工程设计等高端生产性服务业。以“互联网+”为核心，加快推动咸宁传统优势产业转型升级。依托公铁物流园，推进现代物流业专业化和信息化发展，重点发展面向生物医药、特色农副产品等领域专业物流和冷链物流，完善电商物流服务，搭建物流信息数据服务平台，发展陆铁空轨、水铁等多式联运。立足高新区文化产业发展基础及核心资源，建立以文旅产业为核心，以文化体育、出版印刷、科技文化融合、文化软件服务等为重点的“1+N”文化产业体系。</w:t>
      </w:r>
    </w:p>
    <w:p>
      <w:pPr>
        <w:pStyle w:val="4"/>
        <w:numPr>
          <w:ilvl w:val="2"/>
          <w:numId w:val="2"/>
        </w:numPr>
        <w:ind w:left="709" w:hanging="709"/>
        <w:rPr>
          <w:rFonts w:hint="eastAsia" w:ascii="Times New Roman" w:hAnsi="Times New Roman" w:eastAsia="宋体" w:cs="Times New Roman"/>
          <w:color w:val="auto"/>
          <w:highlight w:val="none"/>
          <w:lang w:val="en-US" w:eastAsia="zh-CN"/>
        </w:rPr>
      </w:pPr>
      <w:bookmarkStart w:id="28" w:name="_Toc14741"/>
      <w:r>
        <w:rPr>
          <w:rFonts w:hint="eastAsia" w:ascii="Times New Roman" w:hAnsi="Times New Roman" w:eastAsia="宋体" w:cs="Times New Roman"/>
          <w:color w:val="auto"/>
          <w:highlight w:val="none"/>
          <w:lang w:val="en-US" w:eastAsia="zh-CN"/>
        </w:rPr>
        <w:t>产业重点项目</w:t>
      </w:r>
      <w:bookmarkEnd w:id="28"/>
    </w:p>
    <w:p>
      <w:pPr>
        <w:bidi w:val="0"/>
        <w:rPr>
          <w:rFonts w:hint="eastAsia" w:eastAsia="宋体"/>
          <w:color w:val="auto"/>
          <w:highlight w:val="none"/>
          <w:lang w:val="en-US" w:eastAsia="zh-CN"/>
        </w:rPr>
      </w:pPr>
      <w:r>
        <w:rPr>
          <w:rFonts w:hint="eastAsia" w:eastAsia="宋体"/>
          <w:b/>
          <w:bCs/>
          <w:color w:val="auto"/>
          <w:highlight w:val="none"/>
          <w:lang w:val="en-US" w:eastAsia="zh-CN"/>
        </w:rPr>
        <w:t>中国光谷咸宁产业园。</w:t>
      </w:r>
      <w:r>
        <w:rPr>
          <w:rFonts w:hint="eastAsia" w:eastAsia="宋体"/>
          <w:color w:val="auto"/>
          <w:highlight w:val="none"/>
          <w:lang w:val="en-US" w:eastAsia="zh-CN"/>
        </w:rPr>
        <w:t>在咸宁高新区三期范围内，选择一块10至20平方公里的地块，作为中国光谷咸宁产业园的先期启动区域。东湖高新区和咸宁市共同出资组建中国光谷咸宁产业园投资开发公司，作为园区的投融资平台，首期出资规模为10亿元左右。</w:t>
      </w:r>
    </w:p>
    <w:p>
      <w:pPr>
        <w:bidi w:val="0"/>
        <w:rPr>
          <w:rFonts w:hint="eastAsia" w:eastAsia="宋体"/>
          <w:color w:val="auto"/>
          <w:highlight w:val="none"/>
          <w:lang w:val="en-US" w:eastAsia="zh-CN"/>
        </w:rPr>
      </w:pPr>
      <w:r>
        <w:rPr>
          <w:rFonts w:hint="eastAsia" w:eastAsia="宋体"/>
          <w:b/>
          <w:bCs/>
          <w:color w:val="auto"/>
          <w:highlight w:val="none"/>
          <w:lang w:val="en-US" w:eastAsia="zh-CN"/>
        </w:rPr>
        <w:t>咸宁大健康产业园。</w:t>
      </w:r>
      <w:r>
        <w:rPr>
          <w:rFonts w:hint="eastAsia" w:eastAsia="宋体"/>
          <w:color w:val="auto"/>
          <w:highlight w:val="none"/>
          <w:lang w:val="en-US" w:eastAsia="zh-CN"/>
        </w:rPr>
        <w:t>依托咸宁获批“科创中国”首批22家试点城市，及咸宁高新区光谷南科技城良好的办公、厂房、生活等基础设施，吸引武汉高校大健康研究成果来中试及产业化。</w:t>
      </w:r>
    </w:p>
    <w:p>
      <w:pPr>
        <w:bidi w:val="0"/>
        <w:rPr>
          <w:rFonts w:hint="eastAsia" w:eastAsia="宋体"/>
          <w:color w:val="auto"/>
          <w:highlight w:val="none"/>
          <w:lang w:val="en-US" w:eastAsia="zh-CN"/>
        </w:rPr>
      </w:pPr>
      <w:r>
        <w:rPr>
          <w:rFonts w:hint="eastAsia" w:eastAsia="宋体"/>
          <w:b/>
          <w:bCs/>
          <w:color w:val="auto"/>
          <w:highlight w:val="none"/>
          <w:lang w:val="en-US" w:eastAsia="zh-CN"/>
        </w:rPr>
        <w:t>咸宁JMRH复合材料产业园。</w:t>
      </w:r>
      <w:r>
        <w:rPr>
          <w:rFonts w:hint="eastAsia" w:eastAsia="宋体"/>
          <w:color w:val="auto"/>
          <w:highlight w:val="none"/>
          <w:lang w:val="en-US" w:eastAsia="zh-CN"/>
        </w:rPr>
        <w:t>项目总投资10亿元，规划用地300亩，主要进行复合材料研发及生产。项目建成投产后，预计年产值20亿元，年税收8000万元。主要承接武汉及全国船舶系统复合材料相关应用技术研究及制造实施（螺旋桨船舶推进系统、船舶大型复合材料上层建筑一体化应用）。</w:t>
      </w:r>
    </w:p>
    <w:p>
      <w:pPr>
        <w:bidi w:val="0"/>
        <w:rPr>
          <w:rFonts w:hint="eastAsia" w:eastAsia="宋体"/>
          <w:color w:val="auto"/>
          <w:highlight w:val="none"/>
          <w:lang w:val="en-US" w:eastAsia="zh-CN"/>
        </w:rPr>
      </w:pPr>
      <w:r>
        <w:rPr>
          <w:rFonts w:hint="eastAsia" w:eastAsia="宋体"/>
          <w:b/>
          <w:bCs/>
          <w:color w:val="auto"/>
          <w:highlight w:val="none"/>
          <w:lang w:val="en-US" w:eastAsia="zh-CN"/>
        </w:rPr>
        <w:t>咸宁智能机电产业园。</w:t>
      </w:r>
      <w:r>
        <w:rPr>
          <w:rFonts w:hint="eastAsia" w:eastAsia="宋体"/>
          <w:color w:val="auto"/>
          <w:highlight w:val="none"/>
          <w:lang w:val="en-US" w:eastAsia="zh-CN"/>
        </w:rPr>
        <w:t>依托咸宁智能机电国家级创新型产业集群优势资源，规划建设智能机电产业园，用地1000亩，积极对接武汉机电产业技术转移，主要包括：智能装备、汽车及其零部件以及其他机械、电气加工制造企业制造基地的转移，打造咸宁地区智能制造机电加工领域完整的产业链。</w:t>
      </w:r>
    </w:p>
    <w:p>
      <w:pPr>
        <w:bidi w:val="0"/>
        <w:rPr>
          <w:rFonts w:hint="eastAsia" w:eastAsia="宋体"/>
          <w:color w:val="auto"/>
          <w:highlight w:val="none"/>
          <w:lang w:val="en-US" w:eastAsia="zh-CN"/>
        </w:rPr>
      </w:pPr>
      <w:r>
        <w:rPr>
          <w:rFonts w:hint="eastAsia" w:eastAsia="宋体"/>
          <w:b/>
          <w:bCs/>
          <w:color w:val="auto"/>
          <w:highlight w:val="none"/>
          <w:lang w:val="en-US" w:eastAsia="zh-CN"/>
        </w:rPr>
        <w:t>咸宁综合保税物流中心。</w:t>
      </w:r>
      <w:r>
        <w:rPr>
          <w:rFonts w:hint="eastAsia" w:eastAsia="宋体"/>
          <w:color w:val="auto"/>
          <w:highlight w:val="none"/>
          <w:lang w:val="en-US" w:eastAsia="zh-CN"/>
        </w:rPr>
        <w:t>进一步发挥咸宁高新区推进国际产能合作承接产业转移综合试点效应，积极争取武汉海关支持，2021年向海关总署申报创建咸宁综合保税物流中心。学习借鉴东湖综合保税区、中国（湖北）自贸区武汉片区建设先进经验，加快启动咸宁综合保税物流中心建设。</w:t>
      </w:r>
    </w:p>
    <w:p>
      <w:pPr>
        <w:bidi w:val="0"/>
        <w:rPr>
          <w:rFonts w:hint="eastAsia" w:eastAsia="宋体"/>
          <w:color w:val="auto"/>
          <w:highlight w:val="none"/>
          <w:lang w:val="en-US" w:eastAsia="zh-CN"/>
        </w:rPr>
      </w:pPr>
      <w:r>
        <w:rPr>
          <w:rFonts w:hint="eastAsia" w:eastAsia="宋体"/>
          <w:b/>
          <w:bCs/>
          <w:color w:val="auto"/>
          <w:highlight w:val="none"/>
          <w:lang w:val="en-US" w:eastAsia="zh-CN"/>
        </w:rPr>
        <w:t>湖北咸宁人力资源服务产业园。</w:t>
      </w:r>
      <w:r>
        <w:rPr>
          <w:rFonts w:hint="eastAsia" w:eastAsia="宋体"/>
          <w:color w:val="auto"/>
          <w:highlight w:val="none"/>
          <w:lang w:val="en-US" w:eastAsia="zh-CN"/>
        </w:rPr>
        <w:t>产业园规划占地100亩，总建筑面积30万方。产业园设置三个功能区，一是核心区，集聚国际国内50家以上公共就业以及人力资源服务机构，向社会提供功能完善的人力资源公共服务；二是拓展区，以湖北香城发展研究院为基础，建造多学科专家学者研究院，建造专业技术人员继续教育培训基地、高级人才评测基地、大学生创业孵化基地、院士专家工作服务站、博士后科研工作服务站；三是辐射区，为长远发展预留发展空间。</w:t>
      </w:r>
    </w:p>
    <w:p>
      <w:pPr>
        <w:bidi w:val="0"/>
        <w:rPr>
          <w:rFonts w:hint="eastAsia" w:eastAsia="宋体"/>
          <w:color w:val="auto"/>
          <w:highlight w:val="none"/>
          <w:lang w:val="en-US" w:eastAsia="zh-CN"/>
        </w:rPr>
      </w:pPr>
      <w:r>
        <w:rPr>
          <w:rFonts w:hint="eastAsia" w:eastAsia="宋体"/>
          <w:b/>
          <w:bCs/>
          <w:color w:val="auto"/>
          <w:highlight w:val="none"/>
          <w:lang w:val="en-US" w:eastAsia="zh-CN"/>
        </w:rPr>
        <w:t>咸宁大学科技园。</w:t>
      </w:r>
      <w:r>
        <w:rPr>
          <w:rFonts w:hint="eastAsia" w:eastAsia="宋体"/>
          <w:color w:val="auto"/>
          <w:highlight w:val="none"/>
          <w:lang w:val="en-US" w:eastAsia="zh-CN"/>
        </w:rPr>
        <w:t>围绕智能机电产业发展，利用咸宁智能制造产业园建好的实验室和厂房，吸引武汉高校来咸宁建研究院，进行成果转化，将高校智力资源与市场优势紧密结合，推动创新资源集成、科技成果转化、科技企业孵化、创新人才培养和开放协同发展。</w:t>
      </w:r>
    </w:p>
    <w:p>
      <w:pPr>
        <w:ind w:firstLine="0"/>
        <w:rPr>
          <w:color w:val="auto"/>
          <w:highlight w:val="none"/>
        </w:rPr>
      </w:pPr>
      <w:r>
        <w:rPr>
          <w:rFonts w:hint="eastAsia" w:eastAsia="宋体"/>
          <w:b/>
          <w:bCs/>
          <w:color w:val="auto"/>
          <w:highlight w:val="none"/>
          <w:lang w:val="en-US" w:eastAsia="zh-CN"/>
        </w:rPr>
        <w:t>推动建设磁悬浮试验线。</w:t>
      </w:r>
      <w:r>
        <w:rPr>
          <w:rFonts w:hint="eastAsia" w:eastAsia="宋体"/>
          <w:color w:val="auto"/>
          <w:highlight w:val="none"/>
          <w:lang w:val="en-US" w:eastAsia="zh-CN"/>
        </w:rPr>
        <w:t>推动600公里级高速磁悬浮线路落地咸宁，建造一条200多公里的实验线段，进行600公里至1000公里级磁悬浮实用化实验，用于对高速磁悬浮技术体系进行验证、调整。</w:t>
      </w:r>
    </w:p>
    <w:p>
      <w:pPr>
        <w:ind w:firstLine="560"/>
        <w:rPr>
          <w:color w:val="auto"/>
          <w:highlight w:val="none"/>
        </w:rPr>
        <w:sectPr>
          <w:footnotePr>
            <w:numFmt w:val="decimal"/>
          </w:footnotePr>
          <w:pgSz w:w="11906" w:h="16838"/>
          <w:pgMar w:top="1440" w:right="1800" w:bottom="1440" w:left="1800" w:header="850" w:footer="992" w:gutter="0"/>
          <w:cols w:space="425" w:num="1"/>
          <w:docGrid w:type="lines" w:linePitch="381" w:charSpace="0"/>
        </w:sectPr>
      </w:pPr>
    </w:p>
    <w:p>
      <w:pPr>
        <w:pStyle w:val="2"/>
        <w:numPr>
          <w:ilvl w:val="0"/>
          <w:numId w:val="2"/>
        </w:numPr>
        <w:ind w:left="425" w:leftChars="0" w:hanging="425" w:firstLineChars="0"/>
        <w:rPr>
          <w:color w:val="auto"/>
          <w:highlight w:val="none"/>
        </w:rPr>
      </w:pPr>
      <w:bookmarkStart w:id="29" w:name="_Toc30456"/>
      <w:r>
        <w:rPr>
          <w:rFonts w:hint="eastAsia"/>
          <w:color w:val="auto"/>
          <w:highlight w:val="none"/>
        </w:rPr>
        <w:t>区域</w:t>
      </w:r>
      <w:r>
        <w:rPr>
          <w:color w:val="auto"/>
          <w:highlight w:val="none"/>
        </w:rPr>
        <w:t>能源供应现状及发展规划</w:t>
      </w:r>
      <w:bookmarkEnd w:id="29"/>
    </w:p>
    <w:p>
      <w:pPr>
        <w:pStyle w:val="3"/>
        <w:numPr>
          <w:ilvl w:val="1"/>
          <w:numId w:val="2"/>
        </w:numPr>
        <w:ind w:left="567" w:hanging="567"/>
        <w:rPr>
          <w:color w:val="auto"/>
          <w:highlight w:val="none"/>
        </w:rPr>
      </w:pPr>
      <w:bookmarkStart w:id="30" w:name="_Toc23289"/>
      <w:r>
        <w:rPr>
          <w:rFonts w:hint="eastAsia"/>
          <w:color w:val="auto"/>
          <w:highlight w:val="none"/>
        </w:rPr>
        <w:t>区域</w:t>
      </w:r>
      <w:r>
        <w:rPr>
          <w:color w:val="auto"/>
          <w:highlight w:val="none"/>
        </w:rPr>
        <w:t>能源</w:t>
      </w:r>
      <w:r>
        <w:rPr>
          <w:rFonts w:hint="eastAsia"/>
          <w:color w:val="auto"/>
          <w:highlight w:val="none"/>
        </w:rPr>
        <w:t>供应</w:t>
      </w:r>
      <w:r>
        <w:rPr>
          <w:color w:val="auto"/>
          <w:highlight w:val="none"/>
        </w:rPr>
        <w:t>和使用情况</w:t>
      </w:r>
      <w:bookmarkEnd w:id="30"/>
    </w:p>
    <w:p>
      <w:pPr>
        <w:pStyle w:val="4"/>
        <w:numPr>
          <w:ilvl w:val="2"/>
          <w:numId w:val="2"/>
        </w:numPr>
        <w:ind w:left="709" w:hanging="709"/>
        <w:rPr>
          <w:color w:val="auto"/>
          <w:highlight w:val="none"/>
        </w:rPr>
      </w:pPr>
      <w:bookmarkStart w:id="31" w:name="_Toc5291"/>
      <w:r>
        <w:rPr>
          <w:rFonts w:hint="eastAsia"/>
          <w:color w:val="auto"/>
          <w:highlight w:val="none"/>
        </w:rPr>
        <w:t>电力供应状况</w:t>
      </w:r>
      <w:bookmarkEnd w:id="31"/>
    </w:p>
    <w:p>
      <w:pPr>
        <w:rPr>
          <w:rFonts w:hint="default" w:eastAsia="宋体"/>
          <w:color w:val="auto"/>
          <w:highlight w:val="none"/>
          <w:lang w:val="en-US" w:eastAsia="zh-CN"/>
        </w:rPr>
      </w:pPr>
      <w:r>
        <w:rPr>
          <w:rFonts w:hint="eastAsia"/>
          <w:color w:val="auto"/>
          <w:highlight w:val="none"/>
          <w:lang w:val="en-US" w:eastAsia="zh-CN"/>
        </w:rPr>
        <w:t>（1）110kV及以上输电网概况</w:t>
      </w:r>
    </w:p>
    <w:p>
      <w:pPr>
        <w:ind w:firstLine="560"/>
        <w:rPr>
          <w:rFonts w:hint="eastAsia"/>
          <w:color w:val="auto"/>
          <w:highlight w:val="none"/>
        </w:rPr>
      </w:pPr>
      <w:r>
        <w:rPr>
          <w:rFonts w:hint="eastAsia"/>
          <w:color w:val="auto"/>
          <w:highlight w:val="none"/>
        </w:rPr>
        <w:t>目前</w:t>
      </w:r>
      <w:r>
        <w:rPr>
          <w:color w:val="auto"/>
          <w:highlight w:val="none"/>
        </w:rPr>
        <w:t>，</w:t>
      </w:r>
      <w:r>
        <w:rPr>
          <w:rFonts w:hint="eastAsia"/>
          <w:color w:val="auto"/>
          <w:highlight w:val="none"/>
        </w:rPr>
        <w:t>咸宁高新区规范范围</w:t>
      </w:r>
      <w:r>
        <w:rPr>
          <w:color w:val="auto"/>
          <w:highlight w:val="none"/>
        </w:rPr>
        <w:t>内</w:t>
      </w:r>
      <w:r>
        <w:rPr>
          <w:rFonts w:hint="eastAsia"/>
          <w:color w:val="auto"/>
          <w:highlight w:val="none"/>
        </w:rPr>
        <w:t>现有1座220</w:t>
      </w:r>
      <w:r>
        <w:rPr>
          <w:color w:val="auto"/>
          <w:highlight w:val="none"/>
        </w:rPr>
        <w:t>k</w:t>
      </w:r>
      <w:r>
        <w:rPr>
          <w:rFonts w:hint="eastAsia"/>
          <w:color w:val="auto"/>
          <w:highlight w:val="none"/>
        </w:rPr>
        <w:t>V孙田变电站、1座110</w:t>
      </w:r>
      <w:r>
        <w:rPr>
          <w:color w:val="auto"/>
          <w:highlight w:val="none"/>
        </w:rPr>
        <w:t>k</w:t>
      </w:r>
      <w:r>
        <w:rPr>
          <w:rFonts w:hint="eastAsia"/>
          <w:color w:val="auto"/>
          <w:highlight w:val="none"/>
        </w:rPr>
        <w:t>V的横沟变、110</w:t>
      </w:r>
      <w:r>
        <w:rPr>
          <w:color w:val="auto"/>
          <w:highlight w:val="none"/>
        </w:rPr>
        <w:t>k</w:t>
      </w:r>
      <w:r>
        <w:rPr>
          <w:rFonts w:hint="eastAsia"/>
          <w:color w:val="auto"/>
          <w:highlight w:val="none"/>
        </w:rPr>
        <w:t>V栗林变、110</w:t>
      </w:r>
      <w:r>
        <w:rPr>
          <w:color w:val="auto"/>
          <w:highlight w:val="none"/>
        </w:rPr>
        <w:t>k</w:t>
      </w:r>
      <w:r>
        <w:rPr>
          <w:rFonts w:hint="eastAsia"/>
          <w:color w:val="auto"/>
          <w:highlight w:val="none"/>
        </w:rPr>
        <w:t>V浮山变，与周边的110</w:t>
      </w:r>
      <w:r>
        <w:rPr>
          <w:color w:val="auto"/>
          <w:highlight w:val="none"/>
        </w:rPr>
        <w:t>k</w:t>
      </w:r>
      <w:r>
        <w:rPr>
          <w:rFonts w:hint="eastAsia"/>
          <w:color w:val="auto"/>
          <w:highlight w:val="none"/>
        </w:rPr>
        <w:t>V永安变一同为高新区供电。现状供电容量达到31万</w:t>
      </w:r>
      <w:r>
        <w:rPr>
          <w:color w:val="auto"/>
          <w:highlight w:val="none"/>
        </w:rPr>
        <w:t>k</w:t>
      </w:r>
      <w:r>
        <w:rPr>
          <w:rFonts w:hint="eastAsia"/>
          <w:color w:val="auto"/>
          <w:highlight w:val="none"/>
        </w:rPr>
        <w:t>W。</w:t>
      </w:r>
    </w:p>
    <w:p>
      <w:pPr>
        <w:rPr>
          <w:rFonts w:hint="default" w:eastAsia="宋体"/>
          <w:color w:val="auto"/>
          <w:highlight w:val="none"/>
          <w:lang w:val="en-US" w:eastAsia="zh-CN"/>
        </w:rPr>
      </w:pPr>
      <w:r>
        <w:rPr>
          <w:rFonts w:hint="eastAsia"/>
          <w:color w:val="auto"/>
          <w:highlight w:val="none"/>
          <w:lang w:val="en-US" w:eastAsia="zh-CN"/>
        </w:rPr>
        <w:t>（2）现状余热发电电源</w:t>
      </w:r>
    </w:p>
    <w:p>
      <w:pPr>
        <w:ind w:firstLine="560"/>
        <w:rPr>
          <w:rFonts w:hint="eastAsia"/>
          <w:color w:val="auto"/>
          <w:highlight w:val="none"/>
          <w:lang w:val="en-US" w:eastAsia="zh-CN"/>
        </w:rPr>
      </w:pPr>
      <w:r>
        <w:rPr>
          <w:rFonts w:hint="eastAsia"/>
          <w:color w:val="auto"/>
          <w:highlight w:val="none"/>
        </w:rPr>
        <w:t>咸宁南玻玻璃有限公司位于咸宁高新技术产业园龟山路西侧，2014年8月已建设1座余热发电站并网发电。余热发电机组装机容量5.5MW，采用两炉一机方案，即2台余热锅炉+1台5.5MW冷凝式汽轮发电机组。5余热电站平均发电量约为4000万度/年。</w:t>
      </w:r>
    </w:p>
    <w:p>
      <w:pPr>
        <w:rPr>
          <w:rFonts w:hint="eastAsia"/>
          <w:color w:val="auto"/>
          <w:highlight w:val="none"/>
          <w:lang w:val="en-US" w:eastAsia="zh-CN"/>
        </w:rPr>
      </w:pPr>
      <w:r>
        <w:rPr>
          <w:rFonts w:hint="eastAsia"/>
          <w:color w:val="auto"/>
          <w:highlight w:val="none"/>
          <w:lang w:val="en-US" w:eastAsia="zh-CN"/>
        </w:rPr>
        <w:t>（3）分布式光伏电源</w:t>
      </w:r>
    </w:p>
    <w:p>
      <w:pPr>
        <w:pStyle w:val="27"/>
        <w:rPr>
          <w:rFonts w:hint="eastAsia"/>
          <w:color w:val="auto"/>
          <w:highlight w:val="none"/>
          <w:lang w:val="en-US" w:eastAsia="zh-CN"/>
        </w:rPr>
      </w:pPr>
      <w:r>
        <w:rPr>
          <w:rFonts w:hint="eastAsia"/>
          <w:color w:val="auto"/>
          <w:highlight w:val="none"/>
          <w:lang w:val="en-US" w:eastAsia="zh-CN"/>
        </w:rPr>
        <w:t>区域内奥瑞金包装（饮料）公司一期5.988兆瓦屋顶光伏项目正式投运。该项目是国网咸宁供电公司与地区大工业用户合作建成的第一个大型屋顶光伏项目。</w:t>
      </w:r>
    </w:p>
    <w:p>
      <w:pPr>
        <w:pStyle w:val="27"/>
        <w:rPr>
          <w:rFonts w:hint="eastAsia" w:eastAsia="宋体"/>
          <w:color w:val="auto"/>
          <w:highlight w:val="none"/>
          <w:lang w:val="en-US" w:eastAsia="zh-CN"/>
        </w:rPr>
      </w:pPr>
      <w:r>
        <w:rPr>
          <w:rFonts w:hint="eastAsia" w:ascii="Times New Roman" w:hAnsi="Times New Roman" w:eastAsia="宋体" w:cs="Times New Roman"/>
          <w:i w:val="0"/>
          <w:iCs w:val="0"/>
          <w:caps w:val="0"/>
          <w:color w:val="auto"/>
          <w:spacing w:val="0"/>
          <w:sz w:val="28"/>
          <w:szCs w:val="21"/>
          <w:highlight w:val="none"/>
        </w:rPr>
        <w:t>预计年发电量539.09万千瓦时，每年可节约标准煤1671.8吨，可减少二氧化碳排放量约4399吨</w:t>
      </w:r>
      <w:r>
        <w:rPr>
          <w:rFonts w:hint="eastAsia" w:cs="Times New Roman"/>
          <w:i w:val="0"/>
          <w:iCs w:val="0"/>
          <w:caps w:val="0"/>
          <w:color w:val="auto"/>
          <w:spacing w:val="0"/>
          <w:sz w:val="28"/>
          <w:szCs w:val="21"/>
          <w:highlight w:val="none"/>
          <w:lang w:eastAsia="zh-CN"/>
        </w:rPr>
        <w:t>。</w:t>
      </w:r>
    </w:p>
    <w:p>
      <w:pPr>
        <w:pStyle w:val="27"/>
        <w:rPr>
          <w:rFonts w:hint="default"/>
          <w:color w:val="auto"/>
          <w:highlight w:val="none"/>
          <w:lang w:val="en-US" w:eastAsia="zh-CN"/>
        </w:rPr>
      </w:pPr>
      <w:r>
        <w:rPr>
          <w:rFonts w:hint="eastAsia"/>
          <w:color w:val="auto"/>
          <w:highlight w:val="none"/>
          <w:lang w:val="en-US" w:eastAsia="zh-CN"/>
        </w:rPr>
        <w:t>（4）用电量概况</w:t>
      </w:r>
    </w:p>
    <w:p>
      <w:pPr>
        <w:pStyle w:val="27"/>
        <w:rPr>
          <w:rFonts w:hint="eastAsia"/>
          <w:color w:val="auto"/>
          <w:highlight w:val="none"/>
          <w:lang w:val="en-US" w:eastAsia="zh-CN"/>
        </w:rPr>
      </w:pPr>
      <w:r>
        <w:rPr>
          <w:rFonts w:hint="eastAsia"/>
          <w:color w:val="auto"/>
          <w:highlight w:val="none"/>
          <w:lang w:val="en-US" w:eastAsia="zh-CN"/>
        </w:rPr>
        <w:t>区域内用电量概况见下表</w:t>
      </w:r>
    </w:p>
    <w:p>
      <w:pPr>
        <w:rPr>
          <w:rFonts w:hint="eastAsia"/>
          <w:color w:val="auto"/>
          <w:highlight w:val="none"/>
          <w:lang w:val="en-US" w:eastAsia="zh-CN"/>
        </w:rPr>
      </w:pPr>
    </w:p>
    <w:p>
      <w:pPr>
        <w:rPr>
          <w:rFonts w:hint="eastAsia"/>
          <w:color w:val="auto"/>
          <w:highlight w:val="none"/>
          <w:lang w:val="en-US" w:eastAsia="zh-CN"/>
        </w:rPr>
      </w:pPr>
    </w:p>
    <w:p>
      <w:pPr>
        <w:ind w:firstLine="0" w:firstLineChars="0"/>
        <w:jc w:val="center"/>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rPr>
        <w:t xml:space="preserve">表3- </w:t>
      </w:r>
      <w:r>
        <w:rPr>
          <w:rFonts w:hint="eastAsia" w:ascii="黑体" w:hAnsi="黑体" w:eastAsia="黑体" w:cs="黑体"/>
          <w:color w:val="auto"/>
          <w:sz w:val="24"/>
          <w:szCs w:val="24"/>
          <w:highlight w:val="none"/>
        </w:rPr>
        <w:fldChar w:fldCharType="begin"/>
      </w:r>
      <w:r>
        <w:rPr>
          <w:rFonts w:hint="eastAsia" w:ascii="黑体" w:hAnsi="黑体" w:eastAsia="黑体" w:cs="黑体"/>
          <w:color w:val="auto"/>
          <w:sz w:val="24"/>
          <w:szCs w:val="24"/>
          <w:highlight w:val="none"/>
        </w:rPr>
        <w:instrText xml:space="preserve"> SEQ 表3- \* ARABIC </w:instrText>
      </w:r>
      <w:r>
        <w:rPr>
          <w:rFonts w:hint="eastAsia" w:ascii="黑体" w:hAnsi="黑体" w:eastAsia="黑体" w:cs="黑体"/>
          <w:color w:val="auto"/>
          <w:sz w:val="24"/>
          <w:szCs w:val="24"/>
          <w:highlight w:val="none"/>
        </w:rPr>
        <w:fldChar w:fldCharType="separate"/>
      </w:r>
      <w:r>
        <w:rPr>
          <w:rFonts w:hint="eastAsia" w:ascii="黑体" w:hAnsi="黑体" w:eastAsia="黑体" w:cs="黑体"/>
          <w:color w:val="auto"/>
          <w:sz w:val="24"/>
          <w:szCs w:val="24"/>
          <w:highlight w:val="none"/>
        </w:rPr>
        <w:t>1</w:t>
      </w:r>
      <w:r>
        <w:rPr>
          <w:rFonts w:hint="eastAsia" w:ascii="黑体" w:hAnsi="黑体" w:eastAsia="黑体" w:cs="黑体"/>
          <w:color w:val="auto"/>
          <w:sz w:val="24"/>
          <w:szCs w:val="24"/>
          <w:highlight w:val="none"/>
        </w:rPr>
        <w:fldChar w:fldCharType="end"/>
      </w:r>
      <w:r>
        <w:rPr>
          <w:rFonts w:hint="eastAsia" w:ascii="黑体" w:hAnsi="黑体" w:eastAsia="黑体" w:cs="黑体"/>
          <w:color w:val="auto"/>
          <w:sz w:val="24"/>
          <w:szCs w:val="24"/>
          <w:highlight w:val="none"/>
        </w:rPr>
        <w:t xml:space="preserve"> </w:t>
      </w:r>
      <w:r>
        <w:rPr>
          <w:rFonts w:hint="eastAsia" w:ascii="黑体" w:hAnsi="黑体" w:eastAsia="黑体" w:cs="黑体"/>
          <w:color w:val="auto"/>
          <w:sz w:val="24"/>
          <w:szCs w:val="24"/>
          <w:highlight w:val="none"/>
          <w:lang w:val="en-US" w:eastAsia="zh-CN"/>
        </w:rPr>
        <w:t xml:space="preserve"> 区域内用电量表</w:t>
      </w:r>
    </w:p>
    <w:tbl>
      <w:tblPr>
        <w:tblStyle w:val="92"/>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38"/>
        <w:gridCol w:w="2165"/>
        <w:gridCol w:w="2165"/>
        <w:gridCol w:w="21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103" w:type="pct"/>
            <w:vAlign w:val="top"/>
          </w:tcPr>
          <w:p>
            <w:pPr>
              <w:spacing w:line="360" w:lineRule="auto"/>
              <w:ind w:firstLine="0" w:firstLineChars="0"/>
              <w:jc w:val="center"/>
              <w:rPr>
                <w:rFonts w:hint="eastAsia" w:eastAsia="宋体"/>
                <w:b/>
                <w:bCs/>
                <w:color w:val="auto"/>
                <w:sz w:val="21"/>
                <w:highlight w:val="none"/>
                <w:lang w:val="en-US" w:eastAsia="zh-CN"/>
              </w:rPr>
            </w:pPr>
            <w:r>
              <w:rPr>
                <w:rFonts w:hint="eastAsia"/>
                <w:b/>
                <w:bCs/>
                <w:color w:val="auto"/>
                <w:sz w:val="21"/>
                <w:highlight w:val="none"/>
                <w:lang w:val="en-US" w:eastAsia="zh-CN"/>
              </w:rPr>
              <w:t>/</w:t>
            </w:r>
          </w:p>
        </w:tc>
        <w:tc>
          <w:tcPr>
            <w:tcW w:w="1298" w:type="pct"/>
            <w:vAlign w:val="top"/>
          </w:tcPr>
          <w:p>
            <w:pPr>
              <w:spacing w:before="0" w:line="360" w:lineRule="auto"/>
              <w:ind w:left="0" w:firstLine="0" w:firstLineChars="0"/>
              <w:jc w:val="center"/>
              <w:rPr>
                <w:rFonts w:hint="eastAsia"/>
                <w:b/>
                <w:bCs/>
                <w:color w:val="auto"/>
                <w:sz w:val="21"/>
                <w:highlight w:val="none"/>
              </w:rPr>
            </w:pPr>
            <w:r>
              <w:rPr>
                <w:b/>
                <w:bCs/>
                <w:color w:val="auto"/>
                <w:sz w:val="21"/>
                <w:highlight w:val="none"/>
              </w:rPr>
              <w:t>2020年</w:t>
            </w:r>
            <w:r>
              <w:rPr>
                <w:rFonts w:hint="eastAsia"/>
                <w:b/>
                <w:bCs/>
                <w:color w:val="auto"/>
                <w:sz w:val="21"/>
                <w:highlight w:val="none"/>
                <w:lang w:eastAsia="zh-CN"/>
              </w:rPr>
              <w:t>（</w:t>
            </w:r>
            <w:r>
              <w:rPr>
                <w:rFonts w:hint="eastAsia"/>
                <w:b/>
                <w:bCs/>
                <w:color w:val="auto"/>
                <w:sz w:val="21"/>
                <w:highlight w:val="none"/>
                <w:lang w:val="en-US" w:eastAsia="zh-CN"/>
              </w:rPr>
              <w:t>万kWh</w:t>
            </w:r>
            <w:r>
              <w:rPr>
                <w:rFonts w:hint="eastAsia"/>
                <w:b/>
                <w:bCs/>
                <w:color w:val="auto"/>
                <w:sz w:val="21"/>
                <w:highlight w:val="none"/>
                <w:lang w:eastAsia="zh-CN"/>
              </w:rPr>
              <w:t>）</w:t>
            </w:r>
          </w:p>
        </w:tc>
        <w:tc>
          <w:tcPr>
            <w:tcW w:w="1298" w:type="pct"/>
            <w:vAlign w:val="top"/>
          </w:tcPr>
          <w:p>
            <w:pPr>
              <w:spacing w:before="0" w:line="360" w:lineRule="auto"/>
              <w:ind w:left="0" w:firstLine="0" w:firstLineChars="0"/>
              <w:jc w:val="center"/>
              <w:rPr>
                <w:b/>
                <w:bCs/>
                <w:color w:val="auto"/>
                <w:sz w:val="21"/>
                <w:highlight w:val="none"/>
              </w:rPr>
            </w:pPr>
            <w:r>
              <w:rPr>
                <w:b/>
                <w:bCs/>
                <w:color w:val="auto"/>
                <w:sz w:val="21"/>
                <w:highlight w:val="none"/>
              </w:rPr>
              <w:t>2021年</w:t>
            </w:r>
            <w:r>
              <w:rPr>
                <w:rFonts w:hint="eastAsia"/>
                <w:b/>
                <w:bCs/>
                <w:color w:val="auto"/>
                <w:sz w:val="21"/>
                <w:highlight w:val="none"/>
                <w:lang w:eastAsia="zh-CN"/>
              </w:rPr>
              <w:t>（</w:t>
            </w:r>
            <w:r>
              <w:rPr>
                <w:rFonts w:hint="eastAsia"/>
                <w:b/>
                <w:bCs/>
                <w:color w:val="auto"/>
                <w:sz w:val="21"/>
                <w:highlight w:val="none"/>
                <w:lang w:val="en-US" w:eastAsia="zh-CN"/>
              </w:rPr>
              <w:t>万kWh</w:t>
            </w:r>
            <w:r>
              <w:rPr>
                <w:rFonts w:hint="eastAsia"/>
                <w:b/>
                <w:bCs/>
                <w:color w:val="auto"/>
                <w:sz w:val="21"/>
                <w:highlight w:val="none"/>
                <w:lang w:eastAsia="zh-CN"/>
              </w:rPr>
              <w:t>）</w:t>
            </w:r>
          </w:p>
        </w:tc>
        <w:tc>
          <w:tcPr>
            <w:tcW w:w="1298" w:type="pct"/>
            <w:vAlign w:val="top"/>
          </w:tcPr>
          <w:p>
            <w:pPr>
              <w:spacing w:before="0" w:line="360" w:lineRule="auto"/>
              <w:ind w:left="0" w:firstLine="0" w:firstLineChars="0"/>
              <w:jc w:val="center"/>
              <w:rPr>
                <w:b/>
                <w:bCs/>
                <w:color w:val="auto"/>
                <w:sz w:val="21"/>
                <w:highlight w:val="none"/>
              </w:rPr>
            </w:pPr>
            <w:r>
              <w:rPr>
                <w:b/>
                <w:bCs/>
                <w:color w:val="auto"/>
                <w:sz w:val="21"/>
                <w:highlight w:val="none"/>
              </w:rPr>
              <w:t>2022年</w:t>
            </w:r>
            <w:r>
              <w:rPr>
                <w:rFonts w:hint="eastAsia"/>
                <w:b/>
                <w:bCs/>
                <w:color w:val="auto"/>
                <w:sz w:val="21"/>
                <w:highlight w:val="none"/>
                <w:lang w:eastAsia="zh-CN"/>
              </w:rPr>
              <w:t>（</w:t>
            </w:r>
            <w:r>
              <w:rPr>
                <w:rFonts w:hint="eastAsia"/>
                <w:b/>
                <w:bCs/>
                <w:color w:val="auto"/>
                <w:sz w:val="21"/>
                <w:highlight w:val="none"/>
                <w:lang w:val="en-US" w:eastAsia="zh-CN"/>
              </w:rPr>
              <w:t>万kWh</w:t>
            </w:r>
            <w:r>
              <w:rPr>
                <w:rFonts w:hint="eastAsia"/>
                <w:b/>
                <w:bCs/>
                <w:color w:val="auto"/>
                <w:sz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1103" w:type="pct"/>
            <w:vAlign w:val="top"/>
          </w:tcPr>
          <w:p>
            <w:pPr>
              <w:spacing w:before="0" w:line="360" w:lineRule="auto"/>
              <w:ind w:left="0" w:firstLine="0" w:firstLineChars="0"/>
              <w:jc w:val="center"/>
              <w:rPr>
                <w:color w:val="auto"/>
                <w:sz w:val="21"/>
                <w:highlight w:val="none"/>
              </w:rPr>
            </w:pPr>
            <w:r>
              <w:rPr>
                <w:color w:val="auto"/>
                <w:sz w:val="21"/>
                <w:highlight w:val="none"/>
              </w:rPr>
              <w:t>规上企业</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36874.3685</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42630.8744</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48259.1426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03" w:type="pct"/>
            <w:vAlign w:val="top"/>
          </w:tcPr>
          <w:p>
            <w:pPr>
              <w:spacing w:before="0" w:line="360" w:lineRule="auto"/>
              <w:ind w:left="0" w:firstLine="0" w:firstLineChars="0"/>
              <w:jc w:val="center"/>
              <w:rPr>
                <w:color w:val="auto"/>
                <w:sz w:val="21"/>
                <w:highlight w:val="none"/>
              </w:rPr>
            </w:pPr>
            <w:r>
              <w:rPr>
                <w:color w:val="auto"/>
                <w:sz w:val="21"/>
                <w:highlight w:val="none"/>
              </w:rPr>
              <w:t>开发区行政区域</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43083.0404</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51456.51804</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58733.7239</w:t>
            </w:r>
          </w:p>
        </w:tc>
      </w:tr>
    </w:tbl>
    <w:p>
      <w:pPr>
        <w:pStyle w:val="27"/>
        <w:rPr>
          <w:rFonts w:hint="eastAsia"/>
          <w:color w:val="auto"/>
          <w:highlight w:val="none"/>
        </w:rPr>
      </w:pPr>
    </w:p>
    <w:p>
      <w:pPr>
        <w:pStyle w:val="4"/>
        <w:numPr>
          <w:ilvl w:val="2"/>
          <w:numId w:val="2"/>
        </w:numPr>
        <w:ind w:left="709" w:hanging="709"/>
        <w:rPr>
          <w:color w:val="auto"/>
          <w:highlight w:val="none"/>
        </w:rPr>
      </w:pPr>
      <w:bookmarkStart w:id="32" w:name="_Toc18405"/>
      <w:r>
        <w:rPr>
          <w:rFonts w:hint="eastAsia"/>
          <w:color w:val="auto"/>
          <w:highlight w:val="none"/>
        </w:rPr>
        <w:t>天然气供应状况</w:t>
      </w:r>
      <w:bookmarkEnd w:id="32"/>
    </w:p>
    <w:p>
      <w:pPr>
        <w:ind w:firstLine="560"/>
        <w:rPr>
          <w:rFonts w:hint="eastAsia" w:ascii="Times New Roman" w:hAnsi="Times New Roman" w:eastAsia="宋体" w:cs="Times New Roman"/>
          <w:color w:val="auto"/>
          <w:kern w:val="2"/>
          <w:sz w:val="28"/>
          <w:szCs w:val="21"/>
          <w:highlight w:val="none"/>
          <w:lang w:val="en-US" w:eastAsia="zh-CN" w:bidi="ar-SA"/>
        </w:rPr>
      </w:pPr>
      <w:r>
        <w:rPr>
          <w:rFonts w:hint="eastAsia"/>
          <w:color w:val="auto"/>
          <w:highlight w:val="none"/>
          <w:lang w:val="en-US" w:eastAsia="zh-CN"/>
        </w:rPr>
        <w:t>高新区天然气供应事业由</w:t>
      </w:r>
      <w:r>
        <w:rPr>
          <w:rFonts w:hint="eastAsia"/>
          <w:color w:val="auto"/>
          <w:highlight w:val="none"/>
        </w:rPr>
        <w:t>咸宁中石油昆仑燃气有限公司</w:t>
      </w:r>
      <w:r>
        <w:rPr>
          <w:rFonts w:hint="eastAsia"/>
          <w:color w:val="auto"/>
          <w:highlight w:val="none"/>
          <w:lang w:val="en-US" w:eastAsia="zh-CN"/>
        </w:rPr>
        <w:t>负责。区域内现状建有高新区气门站一座、</w:t>
      </w:r>
      <w:r>
        <w:rPr>
          <w:rFonts w:hint="eastAsia" w:ascii="Times New Roman" w:hAnsi="Times New Roman" w:eastAsia="宋体" w:cs="Times New Roman"/>
          <w:color w:val="auto"/>
          <w:kern w:val="2"/>
          <w:sz w:val="28"/>
          <w:szCs w:val="21"/>
          <w:highlight w:val="none"/>
          <w:lang w:val="en-US" w:eastAsia="zh-CN" w:bidi="ar-SA"/>
        </w:rPr>
        <w:t>横沟分输阀室一座、高压管线7公里，配套市政中压管线90余公里，实现了园区燃气管网全覆盖。</w:t>
      </w:r>
    </w:p>
    <w:p>
      <w:pPr>
        <w:ind w:firstLine="560"/>
        <w:rPr>
          <w:rFonts w:hint="eastAsia" w:ascii="Times New Roman" w:hAnsi="Times New Roman" w:eastAsia="宋体" w:cs="Times New Roman"/>
          <w:color w:val="auto"/>
          <w:kern w:val="2"/>
          <w:sz w:val="28"/>
          <w:szCs w:val="21"/>
          <w:highlight w:val="none"/>
          <w:lang w:val="en-US" w:eastAsia="zh-CN" w:bidi="ar-SA"/>
        </w:rPr>
      </w:pPr>
      <w:r>
        <w:rPr>
          <w:rFonts w:hint="eastAsia" w:ascii="Times New Roman" w:hAnsi="Times New Roman" w:eastAsia="宋体" w:cs="Times New Roman"/>
          <w:color w:val="auto"/>
          <w:kern w:val="2"/>
          <w:sz w:val="28"/>
          <w:szCs w:val="21"/>
          <w:highlight w:val="none"/>
          <w:lang w:val="en-US" w:eastAsia="zh-CN" w:bidi="ar-SA"/>
        </w:rPr>
        <w:t>气源为</w:t>
      </w:r>
      <w:r>
        <w:rPr>
          <w:rFonts w:hint="eastAsia" w:ascii="Times New Roman" w:hAnsi="Times New Roman" w:eastAsia="宋体" w:cs="Times New Roman"/>
          <w:i w:val="0"/>
          <w:iCs w:val="0"/>
          <w:caps w:val="0"/>
          <w:color w:val="auto"/>
          <w:spacing w:val="0"/>
          <w:sz w:val="28"/>
          <w:szCs w:val="21"/>
          <w:highlight w:val="none"/>
          <w:shd w:val="clear"/>
        </w:rPr>
        <w:t>中石油昆仑燃气咸宁分公司武咸支线管道</w:t>
      </w:r>
      <w:r>
        <w:rPr>
          <w:rFonts w:hint="eastAsia" w:ascii="Times New Roman" w:hAnsi="Times New Roman" w:eastAsia="宋体" w:cs="Times New Roman"/>
          <w:i w:val="0"/>
          <w:iCs w:val="0"/>
          <w:caps w:val="0"/>
          <w:color w:val="auto"/>
          <w:spacing w:val="0"/>
          <w:sz w:val="28"/>
          <w:szCs w:val="21"/>
          <w:highlight w:val="none"/>
          <w:shd w:val="clear"/>
          <w:lang w:val="en-US" w:eastAsia="zh-CN"/>
        </w:rPr>
        <w:t>来气，管道</w:t>
      </w:r>
      <w:r>
        <w:rPr>
          <w:rFonts w:hint="eastAsia" w:ascii="Times New Roman" w:hAnsi="Times New Roman" w:eastAsia="宋体" w:cs="Times New Roman"/>
          <w:i w:val="0"/>
          <w:iCs w:val="0"/>
          <w:caps w:val="0"/>
          <w:color w:val="auto"/>
          <w:spacing w:val="0"/>
          <w:sz w:val="28"/>
          <w:szCs w:val="21"/>
          <w:highlight w:val="none"/>
          <w:shd w:val="clear"/>
        </w:rPr>
        <w:t>起点为忠武线武汉东计量站,终点在</w:t>
      </w:r>
      <w:r>
        <w:rPr>
          <w:rFonts w:hint="eastAsia" w:ascii="Times New Roman" w:hAnsi="Times New Roman" w:eastAsia="宋体" w:cs="Times New Roman"/>
          <w:i w:val="0"/>
          <w:iCs w:val="0"/>
          <w:caps w:val="0"/>
          <w:color w:val="auto"/>
          <w:spacing w:val="0"/>
          <w:sz w:val="28"/>
          <w:szCs w:val="21"/>
          <w:highlight w:val="none"/>
          <w:shd w:val="clear"/>
          <w:lang w:val="en-US" w:eastAsia="zh-CN"/>
        </w:rPr>
        <w:t>高新区</w:t>
      </w:r>
      <w:r>
        <w:rPr>
          <w:rFonts w:hint="eastAsia" w:ascii="Times New Roman" w:hAnsi="Times New Roman" w:eastAsia="宋体" w:cs="Times New Roman"/>
          <w:i w:val="0"/>
          <w:iCs w:val="0"/>
          <w:caps w:val="0"/>
          <w:color w:val="auto"/>
          <w:spacing w:val="0"/>
          <w:sz w:val="28"/>
          <w:szCs w:val="21"/>
          <w:highlight w:val="none"/>
          <w:shd w:val="clear"/>
        </w:rPr>
        <w:t>天然气门站</w:t>
      </w:r>
      <w:r>
        <w:rPr>
          <w:rFonts w:hint="eastAsia" w:ascii="Times New Roman" w:hAnsi="Times New Roman" w:eastAsia="宋体" w:cs="Times New Roman"/>
          <w:i w:val="0"/>
          <w:iCs w:val="0"/>
          <w:caps w:val="0"/>
          <w:color w:val="auto"/>
          <w:spacing w:val="0"/>
          <w:sz w:val="28"/>
          <w:szCs w:val="21"/>
          <w:highlight w:val="none"/>
          <w:shd w:val="clear"/>
          <w:lang w:eastAsia="zh-CN"/>
        </w:rPr>
        <w:t>，</w:t>
      </w:r>
      <w:r>
        <w:rPr>
          <w:rFonts w:hint="eastAsia" w:eastAsia="宋体"/>
          <w:color w:val="auto"/>
          <w:highlight w:val="none"/>
          <w:lang w:val="en-US" w:eastAsia="zh-CN"/>
        </w:rPr>
        <w:t>全长59.3公里,其中江夏区线长38.4公里,咸宁市线长20.9公里,</w:t>
      </w:r>
      <w:r>
        <w:rPr>
          <w:rFonts w:hint="eastAsia" w:ascii="Times New Roman" w:hAnsi="Times New Roman" w:eastAsia="宋体" w:cs="Times New Roman"/>
          <w:i w:val="0"/>
          <w:iCs w:val="0"/>
          <w:caps w:val="0"/>
          <w:color w:val="auto"/>
          <w:spacing w:val="0"/>
          <w:sz w:val="28"/>
          <w:szCs w:val="21"/>
          <w:highlight w:val="none"/>
          <w:shd w:val="clear"/>
          <w:lang w:val="en-US" w:eastAsia="zh-CN"/>
        </w:rPr>
        <w:t>设计输气能力</w:t>
      </w:r>
      <w:r>
        <w:rPr>
          <w:rFonts w:hint="eastAsia" w:ascii="Times New Roman" w:hAnsi="Times New Roman" w:eastAsia="宋体" w:cs="Times New Roman"/>
          <w:color w:val="auto"/>
          <w:kern w:val="2"/>
          <w:sz w:val="28"/>
          <w:szCs w:val="21"/>
          <w:highlight w:val="none"/>
          <w:lang w:val="en-US" w:eastAsia="zh-CN" w:bidi="ar-SA"/>
        </w:rPr>
        <w:t>10亿方/年。</w:t>
      </w:r>
    </w:p>
    <w:p>
      <w:pPr>
        <w:ind w:firstLine="560"/>
        <w:rPr>
          <w:rFonts w:hint="eastAsia" w:ascii="Times New Roman" w:hAnsi="Times New Roman" w:eastAsia="宋体" w:cs="Times New Roman"/>
          <w:color w:val="auto"/>
          <w:kern w:val="2"/>
          <w:sz w:val="28"/>
          <w:szCs w:val="21"/>
          <w:highlight w:val="none"/>
          <w:lang w:val="en-US" w:eastAsia="zh-CN" w:bidi="ar-SA"/>
        </w:rPr>
      </w:pPr>
      <w:r>
        <w:rPr>
          <w:rFonts w:hint="eastAsia" w:ascii="Times New Roman" w:hAnsi="Times New Roman" w:eastAsia="宋体" w:cs="Times New Roman"/>
          <w:color w:val="auto"/>
          <w:kern w:val="2"/>
          <w:sz w:val="28"/>
          <w:szCs w:val="21"/>
          <w:highlight w:val="none"/>
          <w:lang w:val="en-US" w:eastAsia="zh-CN" w:bidi="ar-SA"/>
        </w:rPr>
        <w:t>区域内现有天然气工业用户59家，年天然气消耗情况见下表。</w:t>
      </w:r>
    </w:p>
    <w:p>
      <w:pPr>
        <w:pStyle w:val="9"/>
        <w:keepNext/>
        <w:rPr>
          <w:rFonts w:hint="eastAsia" w:eastAsia="黑体"/>
          <w:color w:val="auto"/>
          <w:highlight w:val="none"/>
          <w:lang w:val="en-US" w:eastAsia="zh-CN"/>
        </w:rPr>
      </w:pPr>
      <w:r>
        <w:rPr>
          <w:rFonts w:hint="eastAsia"/>
          <w:color w:val="auto"/>
          <w:highlight w:val="none"/>
        </w:rPr>
        <w:t xml:space="preserve">表3-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表3- \* ARABIC</w:instrText>
      </w:r>
      <w:r>
        <w:rPr>
          <w:color w:val="auto"/>
          <w:highlight w:val="none"/>
        </w:rPr>
        <w:instrText xml:space="preserve"> </w:instrText>
      </w:r>
      <w:r>
        <w:rPr>
          <w:color w:val="auto"/>
          <w:highlight w:val="none"/>
        </w:rPr>
        <w:fldChar w:fldCharType="separate"/>
      </w:r>
      <w:r>
        <w:rPr>
          <w:rFonts w:hint="eastAsia"/>
          <w:color w:val="auto"/>
          <w:highlight w:val="none"/>
        </w:rPr>
        <w:t>2</w:t>
      </w:r>
      <w:r>
        <w:rPr>
          <w:color w:val="auto"/>
          <w:highlight w:val="none"/>
        </w:rPr>
        <w:fldChar w:fldCharType="end"/>
      </w:r>
      <w:r>
        <w:rPr>
          <w:color w:val="auto"/>
          <w:highlight w:val="none"/>
        </w:rPr>
        <w:t xml:space="preserve"> </w:t>
      </w:r>
      <w:r>
        <w:rPr>
          <w:rFonts w:hint="eastAsia"/>
          <w:color w:val="auto"/>
          <w:highlight w:val="none"/>
          <w:lang w:val="en-US" w:eastAsia="zh-CN"/>
        </w:rPr>
        <w:t>高新区</w:t>
      </w:r>
      <w:r>
        <w:rPr>
          <w:color w:val="auto"/>
          <w:highlight w:val="none"/>
        </w:rPr>
        <w:t>天然气</w:t>
      </w:r>
      <w:r>
        <w:rPr>
          <w:rFonts w:hint="eastAsia"/>
          <w:color w:val="auto"/>
          <w:highlight w:val="none"/>
        </w:rPr>
        <w:t>利用</w:t>
      </w:r>
      <w:r>
        <w:rPr>
          <w:color w:val="auto"/>
          <w:highlight w:val="none"/>
        </w:rPr>
        <w:t>统计</w:t>
      </w:r>
      <w:r>
        <w:rPr>
          <w:rFonts w:hint="eastAsia"/>
          <w:color w:val="auto"/>
          <w:highlight w:val="none"/>
          <w:lang w:val="en-US" w:eastAsia="zh-CN"/>
        </w:rPr>
        <w:t>表</w:t>
      </w:r>
    </w:p>
    <w:tbl>
      <w:tblPr>
        <w:tblStyle w:val="28"/>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38"/>
        <w:gridCol w:w="2165"/>
        <w:gridCol w:w="2165"/>
        <w:gridCol w:w="21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103" w:type="pct"/>
            <w:vAlign w:val="top"/>
          </w:tcPr>
          <w:p>
            <w:pPr>
              <w:spacing w:line="360" w:lineRule="auto"/>
              <w:ind w:firstLine="0" w:firstLineChars="0"/>
              <w:jc w:val="center"/>
              <w:rPr>
                <w:rFonts w:hint="eastAsia" w:eastAsia="宋体"/>
                <w:b/>
                <w:bCs/>
                <w:color w:val="auto"/>
                <w:sz w:val="21"/>
                <w:highlight w:val="none"/>
                <w:lang w:val="en-US" w:eastAsia="zh-CN"/>
              </w:rPr>
            </w:pPr>
            <w:r>
              <w:rPr>
                <w:rFonts w:hint="eastAsia"/>
                <w:b/>
                <w:bCs/>
                <w:color w:val="auto"/>
                <w:sz w:val="21"/>
                <w:highlight w:val="none"/>
                <w:lang w:val="en-US" w:eastAsia="zh-CN"/>
              </w:rPr>
              <w:t>/</w:t>
            </w:r>
          </w:p>
        </w:tc>
        <w:tc>
          <w:tcPr>
            <w:tcW w:w="1298" w:type="pct"/>
            <w:vAlign w:val="top"/>
          </w:tcPr>
          <w:p>
            <w:pPr>
              <w:spacing w:before="0" w:line="360" w:lineRule="auto"/>
              <w:ind w:left="0" w:firstLine="0" w:firstLineChars="0"/>
              <w:jc w:val="center"/>
              <w:rPr>
                <w:rFonts w:hint="eastAsia"/>
                <w:b/>
                <w:bCs/>
                <w:color w:val="auto"/>
                <w:sz w:val="21"/>
                <w:highlight w:val="none"/>
              </w:rPr>
            </w:pPr>
            <w:r>
              <w:rPr>
                <w:b/>
                <w:bCs/>
                <w:color w:val="auto"/>
                <w:sz w:val="21"/>
                <w:highlight w:val="none"/>
              </w:rPr>
              <w:t>2020年</w:t>
            </w:r>
            <w:r>
              <w:rPr>
                <w:rFonts w:hint="eastAsia"/>
                <w:b/>
                <w:bCs/>
                <w:color w:val="auto"/>
                <w:sz w:val="21"/>
                <w:highlight w:val="none"/>
                <w:lang w:eastAsia="zh-CN"/>
              </w:rPr>
              <w:t>（</w:t>
            </w:r>
            <w:r>
              <w:rPr>
                <w:rFonts w:hint="eastAsia"/>
                <w:b/>
                <w:bCs/>
                <w:color w:val="auto"/>
                <w:sz w:val="21"/>
                <w:highlight w:val="none"/>
                <w:vertAlign w:val="baseline"/>
                <w:lang w:val="en-US" w:eastAsia="zh-CN"/>
              </w:rPr>
              <w:t>万Nm</w:t>
            </w:r>
            <w:r>
              <w:rPr>
                <w:rFonts w:hint="eastAsia"/>
                <w:b/>
                <w:bCs/>
                <w:color w:val="auto"/>
                <w:sz w:val="21"/>
                <w:highlight w:val="none"/>
                <w:vertAlign w:val="superscript"/>
                <w:lang w:val="en-US" w:eastAsia="zh-CN"/>
              </w:rPr>
              <w:t>3</w:t>
            </w:r>
            <w:r>
              <w:rPr>
                <w:rFonts w:hint="eastAsia"/>
                <w:b/>
                <w:bCs/>
                <w:color w:val="auto"/>
                <w:sz w:val="21"/>
                <w:highlight w:val="none"/>
                <w:lang w:eastAsia="zh-CN"/>
              </w:rPr>
              <w:t>）</w:t>
            </w:r>
          </w:p>
        </w:tc>
        <w:tc>
          <w:tcPr>
            <w:tcW w:w="1298" w:type="pct"/>
            <w:vAlign w:val="top"/>
          </w:tcPr>
          <w:p>
            <w:pPr>
              <w:spacing w:before="0" w:line="360" w:lineRule="auto"/>
              <w:ind w:left="0" w:firstLine="0" w:firstLineChars="0"/>
              <w:jc w:val="center"/>
              <w:rPr>
                <w:b/>
                <w:bCs/>
                <w:color w:val="auto"/>
                <w:sz w:val="21"/>
                <w:highlight w:val="none"/>
              </w:rPr>
            </w:pPr>
            <w:r>
              <w:rPr>
                <w:b/>
                <w:bCs/>
                <w:color w:val="auto"/>
                <w:sz w:val="21"/>
                <w:highlight w:val="none"/>
              </w:rPr>
              <w:t>2021年</w:t>
            </w:r>
            <w:r>
              <w:rPr>
                <w:rFonts w:hint="eastAsia"/>
                <w:b/>
                <w:bCs/>
                <w:color w:val="auto"/>
                <w:sz w:val="21"/>
                <w:highlight w:val="none"/>
                <w:lang w:eastAsia="zh-CN"/>
              </w:rPr>
              <w:t>（</w:t>
            </w:r>
            <w:r>
              <w:rPr>
                <w:rFonts w:hint="eastAsia"/>
                <w:b/>
                <w:bCs/>
                <w:color w:val="auto"/>
                <w:sz w:val="21"/>
                <w:highlight w:val="none"/>
                <w:vertAlign w:val="baseline"/>
                <w:lang w:val="en-US" w:eastAsia="zh-CN"/>
              </w:rPr>
              <w:t>万Nm</w:t>
            </w:r>
            <w:r>
              <w:rPr>
                <w:rFonts w:hint="eastAsia"/>
                <w:b/>
                <w:bCs/>
                <w:color w:val="auto"/>
                <w:sz w:val="21"/>
                <w:highlight w:val="none"/>
                <w:vertAlign w:val="superscript"/>
                <w:lang w:val="en-US" w:eastAsia="zh-CN"/>
              </w:rPr>
              <w:t>3</w:t>
            </w:r>
            <w:r>
              <w:rPr>
                <w:rFonts w:hint="eastAsia"/>
                <w:b/>
                <w:bCs/>
                <w:color w:val="auto"/>
                <w:sz w:val="21"/>
                <w:highlight w:val="none"/>
                <w:lang w:eastAsia="zh-CN"/>
              </w:rPr>
              <w:t>）</w:t>
            </w:r>
          </w:p>
        </w:tc>
        <w:tc>
          <w:tcPr>
            <w:tcW w:w="1298" w:type="pct"/>
            <w:vAlign w:val="top"/>
          </w:tcPr>
          <w:p>
            <w:pPr>
              <w:spacing w:before="0" w:line="360" w:lineRule="auto"/>
              <w:ind w:left="0" w:firstLine="0" w:firstLineChars="0"/>
              <w:jc w:val="center"/>
              <w:rPr>
                <w:b/>
                <w:bCs/>
                <w:color w:val="auto"/>
                <w:sz w:val="21"/>
                <w:highlight w:val="none"/>
              </w:rPr>
            </w:pPr>
            <w:r>
              <w:rPr>
                <w:b/>
                <w:bCs/>
                <w:color w:val="auto"/>
                <w:sz w:val="21"/>
                <w:highlight w:val="none"/>
              </w:rPr>
              <w:t>2022年</w:t>
            </w:r>
            <w:r>
              <w:rPr>
                <w:rFonts w:hint="eastAsia"/>
                <w:b/>
                <w:bCs/>
                <w:color w:val="auto"/>
                <w:sz w:val="21"/>
                <w:highlight w:val="none"/>
                <w:lang w:eastAsia="zh-CN"/>
              </w:rPr>
              <w:t>（</w:t>
            </w:r>
            <w:r>
              <w:rPr>
                <w:rFonts w:hint="eastAsia"/>
                <w:b/>
                <w:bCs/>
                <w:color w:val="auto"/>
                <w:sz w:val="21"/>
                <w:highlight w:val="none"/>
                <w:vertAlign w:val="baseline"/>
                <w:lang w:val="en-US" w:eastAsia="zh-CN"/>
              </w:rPr>
              <w:t>万Nm</w:t>
            </w:r>
            <w:r>
              <w:rPr>
                <w:rFonts w:hint="eastAsia"/>
                <w:b/>
                <w:bCs/>
                <w:color w:val="auto"/>
                <w:sz w:val="21"/>
                <w:highlight w:val="none"/>
                <w:vertAlign w:val="superscript"/>
                <w:lang w:val="en-US" w:eastAsia="zh-CN"/>
              </w:rPr>
              <w:t>3</w:t>
            </w:r>
            <w:r>
              <w:rPr>
                <w:rFonts w:hint="eastAsia"/>
                <w:b/>
                <w:bCs/>
                <w:color w:val="auto"/>
                <w:sz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1103" w:type="pct"/>
            <w:vAlign w:val="top"/>
          </w:tcPr>
          <w:p>
            <w:pPr>
              <w:spacing w:before="0" w:line="360" w:lineRule="auto"/>
              <w:ind w:left="0" w:firstLine="0" w:firstLineChars="0"/>
              <w:jc w:val="center"/>
              <w:rPr>
                <w:color w:val="auto"/>
                <w:sz w:val="21"/>
                <w:highlight w:val="none"/>
              </w:rPr>
            </w:pPr>
            <w:r>
              <w:rPr>
                <w:rFonts w:hint="eastAsia"/>
                <w:color w:val="auto"/>
                <w:sz w:val="21"/>
                <w:highlight w:val="none"/>
                <w:vertAlign w:val="baseline"/>
                <w:lang w:val="en-US" w:eastAsia="zh-CN"/>
              </w:rPr>
              <w:t>合计用气量</w:t>
            </w:r>
          </w:p>
        </w:tc>
        <w:tc>
          <w:tcPr>
            <w:tcW w:w="1298" w:type="pct"/>
            <w:vAlign w:val="top"/>
          </w:tcPr>
          <w:p>
            <w:pPr>
              <w:spacing w:before="0" w:line="360" w:lineRule="auto"/>
              <w:ind w:left="0" w:firstLine="0" w:firstLineChars="0"/>
              <w:jc w:val="center"/>
              <w:rPr>
                <w:color w:val="auto"/>
                <w:sz w:val="21"/>
                <w:highlight w:val="none"/>
              </w:rPr>
            </w:pPr>
            <w:r>
              <w:rPr>
                <w:color w:val="auto"/>
                <w:sz w:val="24"/>
                <w:highlight w:val="none"/>
              </w:rPr>
              <w:t>13300</w:t>
            </w:r>
          </w:p>
        </w:tc>
        <w:tc>
          <w:tcPr>
            <w:tcW w:w="1298" w:type="pct"/>
            <w:vAlign w:val="top"/>
          </w:tcPr>
          <w:p>
            <w:pPr>
              <w:spacing w:before="0" w:line="360" w:lineRule="auto"/>
              <w:ind w:left="0" w:firstLine="0" w:firstLineChars="0"/>
              <w:jc w:val="center"/>
              <w:rPr>
                <w:color w:val="auto"/>
                <w:sz w:val="21"/>
                <w:highlight w:val="none"/>
              </w:rPr>
            </w:pPr>
            <w:r>
              <w:rPr>
                <w:rFonts w:hint="eastAsia"/>
                <w:color w:val="auto"/>
                <w:sz w:val="21"/>
                <w:highlight w:val="none"/>
                <w:vertAlign w:val="baseline"/>
                <w:lang w:val="en-US" w:eastAsia="zh-CN"/>
              </w:rPr>
              <w:t>13700</w:t>
            </w:r>
          </w:p>
        </w:tc>
        <w:tc>
          <w:tcPr>
            <w:tcW w:w="1298" w:type="pct"/>
            <w:vAlign w:val="top"/>
          </w:tcPr>
          <w:p>
            <w:pPr>
              <w:spacing w:before="0" w:line="360" w:lineRule="auto"/>
              <w:ind w:left="0" w:firstLine="0" w:firstLineChars="0"/>
              <w:jc w:val="center"/>
              <w:rPr>
                <w:color w:val="auto"/>
                <w:sz w:val="21"/>
                <w:highlight w:val="none"/>
              </w:rPr>
            </w:pPr>
            <w:r>
              <w:rPr>
                <w:rFonts w:hint="eastAsia"/>
                <w:color w:val="auto"/>
                <w:sz w:val="21"/>
                <w:highlight w:val="none"/>
                <w:vertAlign w:val="baseline"/>
                <w:lang w:val="en-US" w:eastAsia="zh-CN"/>
              </w:rPr>
              <w:t>14100</w:t>
            </w:r>
          </w:p>
        </w:tc>
      </w:tr>
    </w:tbl>
    <w:p>
      <w:pPr>
        <w:rPr>
          <w:color w:val="auto"/>
          <w:highlight w:val="none"/>
        </w:rPr>
      </w:pPr>
    </w:p>
    <w:p>
      <w:pPr>
        <w:pStyle w:val="4"/>
        <w:numPr>
          <w:ilvl w:val="2"/>
          <w:numId w:val="2"/>
        </w:numPr>
        <w:ind w:left="709" w:hanging="709"/>
        <w:rPr>
          <w:color w:val="auto"/>
          <w:highlight w:val="none"/>
        </w:rPr>
      </w:pPr>
      <w:bookmarkStart w:id="33" w:name="_Toc6392"/>
      <w:r>
        <w:rPr>
          <w:rFonts w:hint="eastAsia"/>
          <w:color w:val="auto"/>
          <w:highlight w:val="none"/>
        </w:rPr>
        <w:t>自来水及</w:t>
      </w:r>
      <w:r>
        <w:rPr>
          <w:color w:val="auto"/>
          <w:highlight w:val="none"/>
        </w:rPr>
        <w:t>工业水供应情况</w:t>
      </w:r>
      <w:bookmarkEnd w:id="33"/>
    </w:p>
    <w:p>
      <w:pPr>
        <w:ind w:firstLine="0"/>
        <w:rPr>
          <w:rFonts w:hint="eastAsia"/>
          <w:color w:val="auto"/>
          <w:highlight w:val="none"/>
        </w:rPr>
      </w:pPr>
      <w:r>
        <w:rPr>
          <w:rFonts w:hint="eastAsia" w:ascii="宋体" w:hAnsi="宋体" w:eastAsia="宋体" w:cs="宋体"/>
          <w:color w:val="auto"/>
          <w:sz w:val="28"/>
          <w:szCs w:val="28"/>
          <w:highlight w:val="none"/>
        </w:rPr>
        <w:t>咸宁国家高新技术产业开发区</w:t>
      </w:r>
      <w:r>
        <w:rPr>
          <w:rFonts w:hint="eastAsia" w:ascii="宋体" w:hAnsi="宋体" w:cs="宋体"/>
          <w:color w:val="auto"/>
          <w:sz w:val="28"/>
          <w:szCs w:val="28"/>
          <w:highlight w:val="none"/>
          <w:lang w:val="en-US" w:eastAsia="zh-CN"/>
        </w:rPr>
        <w:t>域内居民生活及工业生产用水供应单位主要为</w:t>
      </w:r>
      <w:r>
        <w:rPr>
          <w:rFonts w:hint="eastAsia" w:ascii="宋体" w:hAnsi="宋体" w:eastAsia="宋体" w:cs="宋体"/>
          <w:color w:val="auto"/>
          <w:sz w:val="28"/>
          <w:szCs w:val="28"/>
          <w:highlight w:val="none"/>
        </w:rPr>
        <w:t>咸宁联合水务有限公司</w:t>
      </w:r>
      <w:r>
        <w:rPr>
          <w:rFonts w:hint="eastAsia" w:ascii="宋体" w:hAnsi="宋体" w:cs="宋体"/>
          <w:color w:val="auto"/>
          <w:sz w:val="28"/>
          <w:szCs w:val="28"/>
          <w:highlight w:val="none"/>
          <w:lang w:val="en-US" w:eastAsia="zh-CN"/>
        </w:rPr>
        <w:t>运营的</w:t>
      </w:r>
      <w:r>
        <w:rPr>
          <w:rFonts w:hint="eastAsia" w:ascii="宋体" w:hAnsi="宋体" w:eastAsia="宋体" w:cs="宋体"/>
          <w:color w:val="auto"/>
          <w:sz w:val="28"/>
          <w:szCs w:val="28"/>
          <w:highlight w:val="none"/>
        </w:rPr>
        <w:t>王英水厂，</w:t>
      </w:r>
      <w:r>
        <w:rPr>
          <w:rFonts w:hint="eastAsia" w:ascii="宋体" w:hAnsi="宋体" w:cs="宋体"/>
          <w:color w:val="auto"/>
          <w:sz w:val="28"/>
          <w:szCs w:val="28"/>
          <w:highlight w:val="none"/>
          <w:lang w:val="en-US" w:eastAsia="zh-CN"/>
        </w:rPr>
        <w:t>水厂</w:t>
      </w:r>
      <w:r>
        <w:rPr>
          <w:rFonts w:hint="eastAsia" w:ascii="宋体" w:hAnsi="宋体" w:eastAsia="宋体" w:cs="宋体"/>
          <w:color w:val="auto"/>
          <w:sz w:val="28"/>
          <w:szCs w:val="28"/>
          <w:highlight w:val="none"/>
        </w:rPr>
        <w:t>日供水能力10万吨。</w:t>
      </w:r>
      <w:r>
        <w:rPr>
          <w:rFonts w:hint="eastAsia"/>
          <w:color w:val="auto"/>
          <w:highlight w:val="none"/>
          <w:lang w:val="en-US" w:eastAsia="zh-CN"/>
        </w:rPr>
        <w:t>2022年10月，王英水厂开展供水增量提质工程，工程总投资4.79亿元，工程改造取水泵房，并新铺设38公里的输水管线。工程完工投运后，日供水能力达到</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rPr>
        <w:t>0万吨</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高新区总水量</w:t>
      </w:r>
      <w:r>
        <w:rPr>
          <w:rFonts w:hint="eastAsia" w:ascii="宋体" w:hAnsi="宋体" w:cs="宋体"/>
          <w:color w:val="auto"/>
          <w:sz w:val="28"/>
          <w:szCs w:val="28"/>
          <w:highlight w:val="none"/>
          <w:lang w:val="en-US" w:eastAsia="zh-CN"/>
        </w:rPr>
        <w:t>今年用水量情况见下表。</w:t>
      </w:r>
    </w:p>
    <w:p>
      <w:pPr>
        <w:pStyle w:val="9"/>
        <w:keepNext/>
        <w:rPr>
          <w:rFonts w:hint="eastAsia" w:eastAsia="黑体"/>
          <w:color w:val="auto"/>
          <w:highlight w:val="none"/>
          <w:lang w:val="en-US" w:eastAsia="zh-CN"/>
        </w:rPr>
      </w:pPr>
      <w:r>
        <w:rPr>
          <w:rFonts w:hint="eastAsia"/>
          <w:color w:val="auto"/>
          <w:highlight w:val="none"/>
        </w:rPr>
        <w:t xml:space="preserve">表3-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表3- \* ARABIC</w:instrText>
      </w:r>
      <w:r>
        <w:rPr>
          <w:color w:val="auto"/>
          <w:highlight w:val="none"/>
        </w:rPr>
        <w:instrText xml:space="preserve"> </w:instrText>
      </w:r>
      <w:r>
        <w:rPr>
          <w:color w:val="auto"/>
          <w:highlight w:val="none"/>
        </w:rPr>
        <w:fldChar w:fldCharType="separate"/>
      </w:r>
      <w:r>
        <w:rPr>
          <w:rFonts w:hint="eastAsia"/>
          <w:color w:val="auto"/>
          <w:highlight w:val="none"/>
        </w:rPr>
        <w:t>3</w:t>
      </w:r>
      <w:r>
        <w:rPr>
          <w:color w:val="auto"/>
          <w:highlight w:val="none"/>
        </w:rPr>
        <w:fldChar w:fldCharType="end"/>
      </w:r>
      <w:r>
        <w:rPr>
          <w:color w:val="auto"/>
          <w:highlight w:val="none"/>
        </w:rPr>
        <w:t xml:space="preserve"> </w:t>
      </w:r>
      <w:r>
        <w:rPr>
          <w:rFonts w:hint="eastAsia"/>
          <w:color w:val="auto"/>
          <w:highlight w:val="none"/>
          <w:lang w:val="en-US" w:eastAsia="zh-CN"/>
        </w:rPr>
        <w:t xml:space="preserve"> 自来水及工业水统计量</w:t>
      </w:r>
      <w:r>
        <w:rPr>
          <w:color w:val="auto"/>
          <w:highlight w:val="none"/>
        </w:rPr>
        <w:t>统计</w:t>
      </w:r>
      <w:r>
        <w:rPr>
          <w:rFonts w:hint="eastAsia"/>
          <w:color w:val="auto"/>
          <w:highlight w:val="none"/>
          <w:lang w:val="en-US" w:eastAsia="zh-CN"/>
        </w:rPr>
        <w:t>表</w:t>
      </w:r>
    </w:p>
    <w:tbl>
      <w:tblPr>
        <w:tblStyle w:val="2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147"/>
        <w:gridCol w:w="1722"/>
        <w:gridCol w:w="1722"/>
        <w:gridCol w:w="17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92" w:type="pct"/>
            <w:vAlign w:val="top"/>
          </w:tcPr>
          <w:p>
            <w:pPr>
              <w:spacing w:line="360" w:lineRule="auto"/>
              <w:ind w:firstLine="0" w:firstLineChars="0"/>
              <w:jc w:val="center"/>
              <w:rPr>
                <w:rFonts w:hint="eastAsia" w:ascii="宋体" w:hAnsi="宋体" w:eastAsia="宋体" w:cs="宋体"/>
                <w:b/>
                <w:bCs/>
                <w:color w:val="auto"/>
                <w:sz w:val="21"/>
                <w:highlight w:val="none"/>
                <w:lang w:val="en-US" w:eastAsia="zh-CN"/>
              </w:rPr>
            </w:pPr>
            <w:r>
              <w:rPr>
                <w:rFonts w:hint="eastAsia" w:ascii="宋体" w:hAnsi="宋体" w:cs="宋体"/>
                <w:b/>
                <w:bCs/>
                <w:color w:val="auto"/>
                <w:sz w:val="21"/>
                <w:highlight w:val="none"/>
                <w:lang w:val="en-US" w:eastAsia="zh-CN"/>
              </w:rPr>
              <w:t>/</w:t>
            </w:r>
          </w:p>
        </w:tc>
        <w:tc>
          <w:tcPr>
            <w:tcW w:w="1035" w:type="pct"/>
            <w:vAlign w:val="top"/>
          </w:tcPr>
          <w:p>
            <w:pPr>
              <w:spacing w:before="0" w:line="360" w:lineRule="auto"/>
              <w:ind w:left="0" w:firstLine="0" w:firstLineChars="0"/>
              <w:jc w:val="center"/>
              <w:rPr>
                <w:rFonts w:hint="eastAsia" w:ascii="宋体" w:hAnsi="宋体" w:cs="宋体"/>
                <w:b/>
                <w:bCs/>
                <w:color w:val="auto"/>
                <w:sz w:val="21"/>
                <w:highlight w:val="none"/>
              </w:rPr>
            </w:pPr>
            <w:r>
              <w:rPr>
                <w:rFonts w:hint="eastAsia" w:ascii="宋体" w:hAnsi="宋体" w:cs="宋体"/>
                <w:b/>
                <w:bCs/>
                <w:color w:val="auto"/>
                <w:sz w:val="21"/>
                <w:highlight w:val="none"/>
              </w:rPr>
              <w:t>2020年</w:t>
            </w:r>
            <w:r>
              <w:rPr>
                <w:rFonts w:hint="eastAsia" w:ascii="宋体" w:hAnsi="宋体" w:cs="宋体"/>
                <w:b/>
                <w:bCs/>
                <w:color w:val="auto"/>
                <w:sz w:val="21"/>
                <w:highlight w:val="none"/>
                <w:lang w:eastAsia="zh-CN"/>
              </w:rPr>
              <w:t>（</w:t>
            </w:r>
            <w:r>
              <w:rPr>
                <w:rFonts w:hint="eastAsia" w:ascii="宋体" w:hAnsi="宋体" w:cs="宋体"/>
                <w:b/>
                <w:bCs/>
                <w:color w:val="auto"/>
                <w:sz w:val="21"/>
                <w:highlight w:val="none"/>
                <w:vertAlign w:val="baseline"/>
                <w:lang w:val="en-US" w:eastAsia="zh-CN"/>
              </w:rPr>
              <w:t>m</w:t>
            </w:r>
            <w:r>
              <w:rPr>
                <w:rFonts w:hint="eastAsia" w:ascii="宋体" w:hAnsi="宋体" w:cs="宋体"/>
                <w:b/>
                <w:bCs/>
                <w:color w:val="auto"/>
                <w:sz w:val="21"/>
                <w:highlight w:val="none"/>
                <w:vertAlign w:val="superscript"/>
                <w:lang w:val="en-US" w:eastAsia="zh-CN"/>
              </w:rPr>
              <w:t>3</w:t>
            </w:r>
            <w:r>
              <w:rPr>
                <w:rFonts w:hint="eastAsia" w:ascii="宋体" w:hAnsi="宋体" w:cs="宋体"/>
                <w:b/>
                <w:bCs/>
                <w:color w:val="auto"/>
                <w:sz w:val="21"/>
                <w:highlight w:val="none"/>
                <w:lang w:eastAsia="zh-CN"/>
              </w:rPr>
              <w:t>）</w:t>
            </w:r>
          </w:p>
        </w:tc>
        <w:tc>
          <w:tcPr>
            <w:tcW w:w="1035" w:type="pct"/>
            <w:vAlign w:val="top"/>
          </w:tcPr>
          <w:p>
            <w:pPr>
              <w:spacing w:before="0" w:line="360" w:lineRule="auto"/>
              <w:ind w:left="0" w:firstLine="0" w:firstLineChars="0"/>
              <w:jc w:val="center"/>
              <w:rPr>
                <w:rFonts w:hint="eastAsia" w:ascii="宋体" w:hAnsi="宋体" w:cs="宋体"/>
                <w:b/>
                <w:bCs/>
                <w:color w:val="auto"/>
                <w:sz w:val="21"/>
                <w:highlight w:val="none"/>
              </w:rPr>
            </w:pPr>
            <w:r>
              <w:rPr>
                <w:rFonts w:hint="eastAsia" w:ascii="宋体" w:hAnsi="宋体" w:cs="宋体"/>
                <w:b/>
                <w:bCs/>
                <w:color w:val="auto"/>
                <w:sz w:val="21"/>
                <w:highlight w:val="none"/>
              </w:rPr>
              <w:t>2021年</w:t>
            </w:r>
            <w:r>
              <w:rPr>
                <w:rFonts w:hint="eastAsia" w:ascii="宋体" w:hAnsi="宋体" w:cs="宋体"/>
                <w:b/>
                <w:bCs/>
                <w:color w:val="auto"/>
                <w:sz w:val="21"/>
                <w:highlight w:val="none"/>
                <w:lang w:eastAsia="zh-CN"/>
              </w:rPr>
              <w:t>（</w:t>
            </w:r>
            <w:r>
              <w:rPr>
                <w:rFonts w:hint="eastAsia" w:ascii="宋体" w:hAnsi="宋体" w:cs="宋体"/>
                <w:b/>
                <w:bCs/>
                <w:color w:val="auto"/>
                <w:sz w:val="21"/>
                <w:highlight w:val="none"/>
                <w:vertAlign w:val="baseline"/>
                <w:lang w:val="en-US" w:eastAsia="zh-CN"/>
              </w:rPr>
              <w:t>m</w:t>
            </w:r>
            <w:r>
              <w:rPr>
                <w:rFonts w:hint="eastAsia" w:ascii="宋体" w:hAnsi="宋体" w:cs="宋体"/>
                <w:b/>
                <w:bCs/>
                <w:color w:val="auto"/>
                <w:sz w:val="21"/>
                <w:highlight w:val="none"/>
                <w:vertAlign w:val="superscript"/>
                <w:lang w:val="en-US" w:eastAsia="zh-CN"/>
              </w:rPr>
              <w:t>3</w:t>
            </w:r>
            <w:r>
              <w:rPr>
                <w:rFonts w:hint="eastAsia" w:ascii="宋体" w:hAnsi="宋体" w:cs="宋体"/>
                <w:b/>
                <w:bCs/>
                <w:color w:val="auto"/>
                <w:sz w:val="21"/>
                <w:highlight w:val="none"/>
                <w:lang w:eastAsia="zh-CN"/>
              </w:rPr>
              <w:t>）</w:t>
            </w:r>
          </w:p>
        </w:tc>
        <w:tc>
          <w:tcPr>
            <w:tcW w:w="1035" w:type="pct"/>
            <w:vAlign w:val="top"/>
          </w:tcPr>
          <w:p>
            <w:pPr>
              <w:spacing w:before="0" w:line="360" w:lineRule="auto"/>
              <w:ind w:left="0" w:firstLine="0" w:firstLineChars="0"/>
              <w:jc w:val="center"/>
              <w:rPr>
                <w:rFonts w:hint="eastAsia" w:ascii="宋体" w:hAnsi="宋体" w:cs="宋体"/>
                <w:b/>
                <w:bCs/>
                <w:color w:val="auto"/>
                <w:sz w:val="21"/>
                <w:highlight w:val="none"/>
              </w:rPr>
            </w:pPr>
            <w:r>
              <w:rPr>
                <w:rFonts w:hint="eastAsia" w:ascii="宋体" w:hAnsi="宋体" w:cs="宋体"/>
                <w:b/>
                <w:bCs/>
                <w:color w:val="auto"/>
                <w:sz w:val="21"/>
                <w:highlight w:val="none"/>
              </w:rPr>
              <w:t>2022年</w:t>
            </w:r>
            <w:r>
              <w:rPr>
                <w:rFonts w:hint="eastAsia" w:ascii="宋体" w:hAnsi="宋体" w:cs="宋体"/>
                <w:b/>
                <w:bCs/>
                <w:color w:val="auto"/>
                <w:sz w:val="21"/>
                <w:highlight w:val="none"/>
                <w:lang w:eastAsia="zh-CN"/>
              </w:rPr>
              <w:t>（</w:t>
            </w:r>
            <w:r>
              <w:rPr>
                <w:rFonts w:hint="eastAsia" w:ascii="宋体" w:hAnsi="宋体" w:cs="宋体"/>
                <w:b/>
                <w:bCs/>
                <w:color w:val="auto"/>
                <w:sz w:val="21"/>
                <w:highlight w:val="none"/>
                <w:vertAlign w:val="baseline"/>
                <w:lang w:val="en-US" w:eastAsia="zh-CN"/>
              </w:rPr>
              <w:t>m</w:t>
            </w:r>
            <w:r>
              <w:rPr>
                <w:rFonts w:hint="eastAsia" w:ascii="宋体" w:hAnsi="宋体" w:cs="宋体"/>
                <w:b/>
                <w:bCs/>
                <w:color w:val="auto"/>
                <w:sz w:val="21"/>
                <w:highlight w:val="none"/>
                <w:vertAlign w:val="superscript"/>
                <w:lang w:val="en-US" w:eastAsia="zh-CN"/>
              </w:rPr>
              <w:t>3</w:t>
            </w:r>
            <w:r>
              <w:rPr>
                <w:rFonts w:hint="eastAsia" w:ascii="宋体" w:hAnsi="宋体" w:cs="宋体"/>
                <w:b/>
                <w:bCs/>
                <w:color w:val="auto"/>
                <w:sz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1892" w:type="pct"/>
            <w:vAlign w:val="top"/>
          </w:tcPr>
          <w:p>
            <w:pPr>
              <w:spacing w:before="0" w:line="360" w:lineRule="auto"/>
              <w:ind w:left="0" w:firstLine="0" w:firstLineChars="0"/>
              <w:jc w:val="center"/>
              <w:rPr>
                <w:rFonts w:hint="eastAsia" w:ascii="宋体" w:hAnsi="宋体" w:eastAsia="宋体" w:cs="宋体"/>
                <w:color w:val="auto"/>
                <w:sz w:val="21"/>
                <w:highlight w:val="none"/>
                <w:lang w:val="en-US" w:eastAsia="zh-CN"/>
              </w:rPr>
            </w:pPr>
            <w:r>
              <w:rPr>
                <w:rFonts w:hint="eastAsia" w:ascii="宋体" w:hAnsi="宋体" w:cs="宋体"/>
                <w:color w:val="auto"/>
                <w:sz w:val="21"/>
                <w:highlight w:val="none"/>
                <w:lang w:val="en-US" w:eastAsia="zh-CN"/>
              </w:rPr>
              <w:t>域内自来水及工业水用量</w:t>
            </w:r>
          </w:p>
        </w:tc>
        <w:tc>
          <w:tcPr>
            <w:tcW w:w="1035" w:type="pct"/>
            <w:vAlign w:val="top"/>
          </w:tcPr>
          <w:p>
            <w:pPr>
              <w:spacing w:before="0" w:line="360" w:lineRule="auto"/>
              <w:ind w:left="0" w:firstLine="0" w:firstLineChars="0"/>
              <w:jc w:val="center"/>
              <w:rPr>
                <w:rFonts w:hint="eastAsia" w:ascii="宋体" w:hAnsi="宋体" w:cs="宋体"/>
                <w:color w:val="auto"/>
                <w:sz w:val="21"/>
                <w:highlight w:val="none"/>
              </w:rPr>
            </w:pPr>
            <w:r>
              <w:rPr>
                <w:rFonts w:hint="eastAsia" w:ascii="宋体" w:hAnsi="宋体" w:eastAsia="宋体" w:cs="宋体"/>
                <w:color w:val="auto"/>
                <w:sz w:val="21"/>
                <w:szCs w:val="21"/>
                <w:highlight w:val="none"/>
              </w:rPr>
              <w:t>3448864</w:t>
            </w:r>
          </w:p>
        </w:tc>
        <w:tc>
          <w:tcPr>
            <w:tcW w:w="1035" w:type="pct"/>
            <w:vAlign w:val="top"/>
          </w:tcPr>
          <w:p>
            <w:pPr>
              <w:spacing w:before="0" w:line="360" w:lineRule="auto"/>
              <w:ind w:left="0" w:firstLine="0" w:firstLineChars="0"/>
              <w:jc w:val="center"/>
              <w:rPr>
                <w:rFonts w:hint="eastAsia" w:ascii="宋体" w:hAnsi="宋体" w:cs="宋体"/>
                <w:color w:val="auto"/>
                <w:sz w:val="21"/>
                <w:highlight w:val="none"/>
              </w:rPr>
            </w:pPr>
            <w:r>
              <w:rPr>
                <w:rFonts w:hint="eastAsia" w:ascii="宋体" w:hAnsi="宋体" w:eastAsia="宋体" w:cs="宋体"/>
                <w:color w:val="auto"/>
                <w:sz w:val="21"/>
                <w:szCs w:val="21"/>
                <w:highlight w:val="none"/>
              </w:rPr>
              <w:t>3865009</w:t>
            </w:r>
          </w:p>
        </w:tc>
        <w:tc>
          <w:tcPr>
            <w:tcW w:w="1035" w:type="pct"/>
            <w:vAlign w:val="top"/>
          </w:tcPr>
          <w:p>
            <w:pPr>
              <w:spacing w:before="0" w:line="360" w:lineRule="auto"/>
              <w:ind w:left="0" w:firstLine="0" w:firstLineChars="0"/>
              <w:jc w:val="center"/>
              <w:rPr>
                <w:rFonts w:hint="eastAsia" w:ascii="宋体" w:hAnsi="宋体" w:cs="宋体"/>
                <w:color w:val="auto"/>
                <w:sz w:val="21"/>
                <w:highlight w:val="none"/>
              </w:rPr>
            </w:pPr>
            <w:r>
              <w:rPr>
                <w:rFonts w:hint="eastAsia" w:ascii="宋体" w:hAnsi="宋体" w:eastAsia="宋体" w:cs="宋体"/>
                <w:color w:val="auto"/>
                <w:sz w:val="21"/>
                <w:szCs w:val="21"/>
                <w:highlight w:val="none"/>
              </w:rPr>
              <w:t>4316432</w:t>
            </w:r>
          </w:p>
        </w:tc>
      </w:tr>
    </w:tbl>
    <w:p>
      <w:pPr>
        <w:ind w:firstLine="560"/>
        <w:rPr>
          <w:rFonts w:hint="eastAsia" w:eastAsia="宋体"/>
          <w:color w:val="auto"/>
          <w:highlight w:val="none"/>
          <w:lang w:val="en-US" w:eastAsia="zh-CN"/>
        </w:rPr>
      </w:pPr>
    </w:p>
    <w:p>
      <w:pPr>
        <w:pStyle w:val="4"/>
        <w:numPr>
          <w:ilvl w:val="2"/>
          <w:numId w:val="2"/>
        </w:numPr>
        <w:ind w:left="709" w:hanging="709"/>
        <w:rPr>
          <w:color w:val="auto"/>
          <w:highlight w:val="none"/>
        </w:rPr>
      </w:pPr>
      <w:bookmarkStart w:id="34" w:name="_Toc616"/>
      <w:r>
        <w:rPr>
          <w:rFonts w:hint="eastAsia"/>
          <w:color w:val="auto"/>
          <w:highlight w:val="none"/>
        </w:rPr>
        <w:t>热力供应情况</w:t>
      </w:r>
      <w:bookmarkEnd w:id="34"/>
    </w:p>
    <w:p>
      <w:pPr>
        <w:ind w:firstLine="560"/>
        <w:rPr>
          <w:color w:val="auto"/>
          <w:highlight w:val="none"/>
        </w:rPr>
      </w:pPr>
      <w:r>
        <w:rPr>
          <w:rFonts w:hint="eastAsia"/>
          <w:color w:val="auto"/>
          <w:highlight w:val="none"/>
        </w:rPr>
        <w:t>目前</w:t>
      </w:r>
      <w:r>
        <w:rPr>
          <w:color w:val="auto"/>
          <w:highlight w:val="none"/>
        </w:rPr>
        <w:t>，</w:t>
      </w:r>
      <w:r>
        <w:rPr>
          <w:rFonts w:hint="eastAsia"/>
          <w:color w:val="auto"/>
          <w:highlight w:val="none"/>
          <w:lang w:val="en-US" w:eastAsia="zh-CN"/>
        </w:rPr>
        <w:t>区域内</w:t>
      </w:r>
      <w:r>
        <w:rPr>
          <w:rFonts w:hint="eastAsia"/>
          <w:color w:val="auto"/>
          <w:highlight w:val="none"/>
        </w:rPr>
        <w:t>暂无集中供热系统，用热企业的供热主要由企业自备独立锅炉解决，自备锅炉燃烧形式主要为天然气锅炉和生物质锅炉，部分企业在厂内锅炉基本上已是满负荷运行，热效率不高，受国家节能减排要求，难以增容扩大生产，制约了企业发展。</w:t>
      </w:r>
    </w:p>
    <w:p>
      <w:pPr>
        <w:ind w:firstLine="560"/>
        <w:rPr>
          <w:color w:val="auto"/>
          <w:highlight w:val="none"/>
        </w:rPr>
      </w:pPr>
      <w:r>
        <w:rPr>
          <w:rFonts w:hint="eastAsia"/>
          <w:color w:val="auto"/>
          <w:highlight w:val="none"/>
        </w:rPr>
        <w:t>高新区内主要企业</w:t>
      </w:r>
      <w:r>
        <w:rPr>
          <w:color w:val="auto"/>
          <w:highlight w:val="none"/>
        </w:rPr>
        <w:t>用热情况如下表所示：</w:t>
      </w:r>
    </w:p>
    <w:p>
      <w:pPr>
        <w:pStyle w:val="9"/>
        <w:keepNext/>
        <w:rPr>
          <w:rFonts w:hint="eastAsia" w:eastAsia="黑体"/>
          <w:color w:val="auto"/>
          <w:highlight w:val="none"/>
          <w:lang w:val="en-US" w:eastAsia="zh-CN"/>
        </w:rPr>
      </w:pPr>
      <w:r>
        <w:rPr>
          <w:rFonts w:hint="eastAsia"/>
          <w:color w:val="auto"/>
          <w:highlight w:val="none"/>
        </w:rPr>
        <w:t xml:space="preserve">表3-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表3- \* ARABIC</w:instrText>
      </w:r>
      <w:r>
        <w:rPr>
          <w:color w:val="auto"/>
          <w:highlight w:val="none"/>
        </w:rPr>
        <w:instrText xml:space="preserve"> </w:instrText>
      </w:r>
      <w:r>
        <w:rPr>
          <w:color w:val="auto"/>
          <w:highlight w:val="none"/>
        </w:rPr>
        <w:fldChar w:fldCharType="separate"/>
      </w:r>
      <w:r>
        <w:rPr>
          <w:rFonts w:hint="eastAsia"/>
          <w:color w:val="auto"/>
          <w:highlight w:val="none"/>
        </w:rPr>
        <w:t>4</w:t>
      </w:r>
      <w:r>
        <w:rPr>
          <w:color w:val="auto"/>
          <w:highlight w:val="none"/>
        </w:rPr>
        <w:fldChar w:fldCharType="end"/>
      </w:r>
      <w:r>
        <w:rPr>
          <w:color w:val="auto"/>
          <w:highlight w:val="none"/>
        </w:rPr>
        <w:t xml:space="preserve"> </w:t>
      </w:r>
      <w:r>
        <w:rPr>
          <w:rFonts w:hint="eastAsia"/>
          <w:color w:val="auto"/>
          <w:highlight w:val="none"/>
          <w:lang w:val="en-US" w:eastAsia="zh-CN"/>
        </w:rPr>
        <w:t xml:space="preserve"> </w:t>
      </w:r>
      <w:r>
        <w:rPr>
          <w:rFonts w:hint="eastAsia"/>
          <w:color w:val="auto"/>
          <w:highlight w:val="none"/>
        </w:rPr>
        <w:t>咸宁</w:t>
      </w:r>
      <w:r>
        <w:rPr>
          <w:color w:val="auto"/>
          <w:highlight w:val="none"/>
        </w:rPr>
        <w:t>高新区</w:t>
      </w:r>
      <w:r>
        <w:rPr>
          <w:rFonts w:hint="eastAsia"/>
          <w:color w:val="auto"/>
          <w:highlight w:val="none"/>
        </w:rPr>
        <w:t>主要</w:t>
      </w:r>
      <w:r>
        <w:rPr>
          <w:color w:val="auto"/>
          <w:highlight w:val="none"/>
        </w:rPr>
        <w:t>用</w:t>
      </w:r>
      <w:r>
        <w:rPr>
          <w:rFonts w:hint="eastAsia"/>
          <w:color w:val="auto"/>
          <w:highlight w:val="none"/>
        </w:rPr>
        <w:t>热</w:t>
      </w:r>
      <w:r>
        <w:rPr>
          <w:color w:val="auto"/>
          <w:highlight w:val="none"/>
        </w:rPr>
        <w:t>企业</w:t>
      </w:r>
      <w:r>
        <w:rPr>
          <w:rFonts w:hint="eastAsia"/>
          <w:color w:val="auto"/>
          <w:highlight w:val="none"/>
        </w:rPr>
        <w:t>锅炉装机统计</w:t>
      </w:r>
      <w:r>
        <w:rPr>
          <w:rFonts w:hint="eastAsia"/>
          <w:color w:val="auto"/>
          <w:highlight w:val="none"/>
          <w:lang w:val="en-US" w:eastAsia="zh-CN"/>
        </w:rPr>
        <w:t>表</w:t>
      </w:r>
    </w:p>
    <w:tbl>
      <w:tblPr>
        <w:tblStyle w:val="28"/>
        <w:tblW w:w="5000" w:type="pct"/>
        <w:tblInd w:w="0" w:type="dxa"/>
        <w:tblLayout w:type="autofit"/>
        <w:tblCellMar>
          <w:top w:w="0" w:type="dxa"/>
          <w:left w:w="28" w:type="dxa"/>
          <w:bottom w:w="0" w:type="dxa"/>
          <w:right w:w="28" w:type="dxa"/>
        </w:tblCellMar>
      </w:tblPr>
      <w:tblGrid>
        <w:gridCol w:w="880"/>
        <w:gridCol w:w="3544"/>
        <w:gridCol w:w="1274"/>
        <w:gridCol w:w="1276"/>
        <w:gridCol w:w="1388"/>
      </w:tblGrid>
      <w:tr>
        <w:tblPrEx>
          <w:tblCellMar>
            <w:top w:w="0" w:type="dxa"/>
            <w:left w:w="28" w:type="dxa"/>
            <w:bottom w:w="0" w:type="dxa"/>
            <w:right w:w="28" w:type="dxa"/>
          </w:tblCellMar>
        </w:tblPrEx>
        <w:trPr>
          <w:trHeight w:val="454" w:hRule="atLeast"/>
          <w:tblHeader/>
        </w:trPr>
        <w:tc>
          <w:tcPr>
            <w:tcW w:w="526" w:type="pct"/>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序号</w:t>
            </w:r>
          </w:p>
        </w:tc>
        <w:tc>
          <w:tcPr>
            <w:tcW w:w="2119" w:type="pct"/>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单位名称</w:t>
            </w:r>
          </w:p>
        </w:tc>
        <w:tc>
          <w:tcPr>
            <w:tcW w:w="1525" w:type="pct"/>
            <w:gridSpan w:val="2"/>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蒸汽参数</w:t>
            </w:r>
          </w:p>
        </w:tc>
        <w:tc>
          <w:tcPr>
            <w:tcW w:w="830"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装机规模</w:t>
            </w:r>
          </w:p>
        </w:tc>
      </w:tr>
      <w:tr>
        <w:tblPrEx>
          <w:tblCellMar>
            <w:top w:w="0" w:type="dxa"/>
            <w:left w:w="28" w:type="dxa"/>
            <w:bottom w:w="0" w:type="dxa"/>
            <w:right w:w="28" w:type="dxa"/>
          </w:tblCellMar>
        </w:tblPrEx>
        <w:trPr>
          <w:trHeight w:val="454" w:hRule="atLeast"/>
          <w:tblHeader/>
        </w:trPr>
        <w:tc>
          <w:tcPr>
            <w:tcW w:w="526"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p>
        </w:tc>
        <w:tc>
          <w:tcPr>
            <w:tcW w:w="2119"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温度</w:t>
            </w:r>
            <w:r>
              <w:rPr>
                <w:b/>
                <w:bCs/>
                <w:color w:val="auto"/>
                <w:kern w:val="0"/>
                <w:sz w:val="24"/>
                <w:szCs w:val="24"/>
                <w:highlight w:val="none"/>
              </w:rPr>
              <w:t>(</w:t>
            </w:r>
            <w:r>
              <w:rPr>
                <w:rFonts w:hint="eastAsia" w:ascii="宋体" w:hAnsi="宋体" w:cs="宋体"/>
                <w:b/>
                <w:bCs/>
                <w:color w:val="auto"/>
                <w:kern w:val="0"/>
                <w:sz w:val="24"/>
                <w:szCs w:val="24"/>
                <w:highlight w:val="none"/>
              </w:rPr>
              <w:t>℃）</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压力</w:t>
            </w:r>
            <w:r>
              <w:rPr>
                <w:b/>
                <w:bCs/>
                <w:color w:val="auto"/>
                <w:kern w:val="0"/>
                <w:sz w:val="24"/>
                <w:szCs w:val="24"/>
                <w:highlight w:val="none"/>
              </w:rPr>
              <w:t>(Mpa)</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w:t>
            </w:r>
            <w:r>
              <w:rPr>
                <w:rFonts w:hint="eastAsia" w:ascii="宋体" w:hAnsi="宋体"/>
                <w:b/>
                <w:bCs/>
                <w:color w:val="auto"/>
                <w:kern w:val="0"/>
                <w:sz w:val="24"/>
                <w:szCs w:val="24"/>
                <w:highlight w:val="none"/>
              </w:rPr>
              <w:t>吨蒸汽</w:t>
            </w:r>
            <w:r>
              <w:rPr>
                <w:b/>
                <w:bCs/>
                <w:color w:val="auto"/>
                <w:kern w:val="0"/>
                <w:sz w:val="24"/>
                <w:szCs w:val="24"/>
                <w:highlight w:val="none"/>
              </w:rPr>
              <w:t>/</w:t>
            </w:r>
            <w:r>
              <w:rPr>
                <w:rFonts w:hint="eastAsia" w:ascii="宋体" w:hAnsi="宋体"/>
                <w:b/>
                <w:bCs/>
                <w:color w:val="auto"/>
                <w:kern w:val="0"/>
                <w:sz w:val="24"/>
                <w:szCs w:val="24"/>
                <w:highlight w:val="none"/>
              </w:rPr>
              <w:t>时</w:t>
            </w:r>
            <w:r>
              <w:rPr>
                <w:b/>
                <w:bCs/>
                <w:color w:val="auto"/>
                <w:kern w:val="0"/>
                <w:sz w:val="24"/>
                <w:szCs w:val="24"/>
                <w:highlight w:val="none"/>
              </w:rPr>
              <w:t>)</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欣和生物</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亚坤电力设备</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鹏盛水泥制品</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欣畅管业</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福人药业</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0.7</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湖北绿雪生物</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八月花食品有限公司</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武汉蒲瑞科新材料有限公司</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湖北海弘达铁路车辆配件公司</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欣畅管业</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湖北贵泉新型节能建筑材料</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立邦涂料</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13</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武汉谷都生物科技有限公司</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金士达医疗</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0.8</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15</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今麦郎</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0.8</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黄鹤楼酒业</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0.4</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红牛</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0.8</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24</w:t>
            </w:r>
          </w:p>
        </w:tc>
      </w:tr>
    </w:tbl>
    <w:p>
      <w:pPr>
        <w:ind w:firstLine="0" w:firstLineChars="0"/>
        <w:rPr>
          <w:color w:val="auto"/>
          <w:highlight w:val="none"/>
        </w:rPr>
      </w:pPr>
    </w:p>
    <w:p>
      <w:pPr>
        <w:pStyle w:val="3"/>
        <w:numPr>
          <w:ilvl w:val="1"/>
          <w:numId w:val="2"/>
        </w:numPr>
        <w:ind w:left="567" w:hanging="567"/>
        <w:rPr>
          <w:color w:val="auto"/>
          <w:highlight w:val="none"/>
        </w:rPr>
      </w:pPr>
      <w:bookmarkStart w:id="35" w:name="_Toc6480"/>
      <w:r>
        <w:rPr>
          <w:rFonts w:hint="eastAsia"/>
          <w:color w:val="auto"/>
          <w:highlight w:val="none"/>
        </w:rPr>
        <w:t>区域</w:t>
      </w:r>
      <w:r>
        <w:rPr>
          <w:color w:val="auto"/>
          <w:highlight w:val="none"/>
        </w:rPr>
        <w:t>能源发展规划</w:t>
      </w:r>
      <w:bookmarkEnd w:id="35"/>
    </w:p>
    <w:p>
      <w:pPr>
        <w:pStyle w:val="4"/>
        <w:numPr>
          <w:ilvl w:val="2"/>
          <w:numId w:val="2"/>
        </w:numPr>
        <w:ind w:left="709" w:hanging="709"/>
        <w:rPr>
          <w:color w:val="auto"/>
          <w:highlight w:val="none"/>
        </w:rPr>
      </w:pPr>
      <w:bookmarkStart w:id="36" w:name="_Toc24419"/>
      <w:r>
        <w:rPr>
          <w:rFonts w:hint="eastAsia"/>
          <w:color w:val="auto"/>
          <w:highlight w:val="none"/>
        </w:rPr>
        <w:t>电力发展</w:t>
      </w:r>
      <w:r>
        <w:rPr>
          <w:color w:val="auto"/>
          <w:highlight w:val="none"/>
        </w:rPr>
        <w:t>规划</w:t>
      </w:r>
      <w:bookmarkEnd w:id="36"/>
    </w:p>
    <w:p>
      <w:pPr>
        <w:ind w:firstLine="560"/>
        <w:rPr>
          <w:rFonts w:hint="default" w:eastAsia="宋体"/>
          <w:color w:val="auto"/>
          <w:highlight w:val="none"/>
          <w:lang w:val="en-US" w:eastAsia="zh-CN"/>
        </w:rPr>
      </w:pPr>
      <w:r>
        <w:rPr>
          <w:rFonts w:hint="eastAsia"/>
          <w:color w:val="auto"/>
          <w:highlight w:val="none"/>
          <w:lang w:val="en-US" w:eastAsia="zh-CN"/>
        </w:rPr>
        <w:t>（1）110kV及以上输电网</w:t>
      </w:r>
    </w:p>
    <w:p>
      <w:pPr>
        <w:ind w:firstLine="560"/>
        <w:rPr>
          <w:rFonts w:hint="eastAsia"/>
          <w:color w:val="auto"/>
          <w:highlight w:val="none"/>
        </w:rPr>
      </w:pPr>
      <w:r>
        <w:rPr>
          <w:rFonts w:hint="eastAsia"/>
          <w:color w:val="auto"/>
          <w:highlight w:val="none"/>
        </w:rPr>
        <w:t>高新区工业用地内不再增设其他35/110</w:t>
      </w:r>
      <w:r>
        <w:rPr>
          <w:color w:val="auto"/>
          <w:highlight w:val="none"/>
        </w:rPr>
        <w:t>k</w:t>
      </w:r>
      <w:r>
        <w:rPr>
          <w:rFonts w:hint="eastAsia"/>
          <w:color w:val="auto"/>
          <w:highlight w:val="none"/>
        </w:rPr>
        <w:t>V变电站。</w:t>
      </w:r>
    </w:p>
    <w:p>
      <w:pPr>
        <w:ind w:firstLine="56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配网发展规划</w:t>
      </w:r>
    </w:p>
    <w:p>
      <w:pPr>
        <w:ind w:firstLine="560"/>
        <w:rPr>
          <w:rFonts w:hint="eastAsia" w:eastAsia="宋体"/>
          <w:color w:val="auto"/>
          <w:highlight w:val="none"/>
          <w:lang w:eastAsia="zh-CN"/>
        </w:rPr>
      </w:pPr>
      <w:r>
        <w:rPr>
          <w:rFonts w:hint="eastAsia"/>
          <w:color w:val="auto"/>
          <w:highlight w:val="none"/>
        </w:rPr>
        <w:t>国网咸宁供电公司2023年城区配电网建设与改造工程</w:t>
      </w:r>
      <w:r>
        <w:rPr>
          <w:rFonts w:hint="eastAsia"/>
          <w:color w:val="auto"/>
          <w:highlight w:val="none"/>
          <w:lang w:eastAsia="zh-CN"/>
        </w:rPr>
        <w:t>，</w:t>
      </w:r>
      <w:r>
        <w:rPr>
          <w:rFonts w:hint="eastAsia" w:cs="Times New Roman"/>
          <w:i w:val="0"/>
          <w:iCs w:val="0"/>
          <w:caps w:val="0"/>
          <w:color w:val="auto"/>
          <w:spacing w:val="0"/>
          <w:sz w:val="28"/>
          <w:szCs w:val="21"/>
          <w:highlight w:val="none"/>
          <w:lang w:val="en-US" w:eastAsia="zh-CN"/>
        </w:rPr>
        <w:t>预计在高新区</w:t>
      </w:r>
      <w:r>
        <w:rPr>
          <w:rFonts w:hint="eastAsia" w:ascii="Times New Roman" w:hAnsi="Times New Roman" w:eastAsia="宋体" w:cs="Times New Roman"/>
          <w:i w:val="0"/>
          <w:iCs w:val="0"/>
          <w:caps w:val="0"/>
          <w:color w:val="auto"/>
          <w:spacing w:val="0"/>
          <w:sz w:val="28"/>
          <w:szCs w:val="21"/>
          <w:highlight w:val="none"/>
        </w:rPr>
        <w:t>新建及改造10千伏线路54.84公里,其中电缆线路51.1公里;新建电缆通道2.96公里;新增环网柜38台,柱上开关54台;新建配电</w:t>
      </w:r>
      <w:r>
        <w:rPr>
          <w:rFonts w:hint="eastAsia" w:ascii="Times New Roman" w:hAnsi="Times New Roman" w:eastAsia="宋体" w:cs="Times New Roman"/>
          <w:i w:val="0"/>
          <w:iCs w:val="0"/>
          <w:caps w:val="0"/>
          <w:color w:val="auto"/>
          <w:spacing w:val="0"/>
          <w:sz w:val="28"/>
          <w:szCs w:val="21"/>
          <w:highlight w:val="none"/>
          <w:u w:val="none"/>
        </w:rPr>
        <w:fldChar w:fldCharType="begin"/>
      </w:r>
      <w:r>
        <w:rPr>
          <w:rFonts w:hint="eastAsia" w:ascii="Times New Roman" w:hAnsi="Times New Roman" w:eastAsia="宋体" w:cs="Times New Roman"/>
          <w:i w:val="0"/>
          <w:iCs w:val="0"/>
          <w:caps w:val="0"/>
          <w:color w:val="auto"/>
          <w:spacing w:val="0"/>
          <w:sz w:val="28"/>
          <w:szCs w:val="21"/>
          <w:highlight w:val="none"/>
          <w:u w:val="none"/>
        </w:rPr>
        <w:instrText xml:space="preserve"> HYPERLINK "https://news.bjx.com.cn/topics/bianyaqi/" \t "https://news.bjx.com.cn/html/20230904/_blank" </w:instrText>
      </w:r>
      <w:r>
        <w:rPr>
          <w:rFonts w:hint="eastAsia" w:ascii="Times New Roman" w:hAnsi="Times New Roman" w:eastAsia="宋体" w:cs="Times New Roman"/>
          <w:i w:val="0"/>
          <w:iCs w:val="0"/>
          <w:caps w:val="0"/>
          <w:color w:val="auto"/>
          <w:spacing w:val="0"/>
          <w:sz w:val="28"/>
          <w:szCs w:val="21"/>
          <w:highlight w:val="none"/>
          <w:u w:val="none"/>
        </w:rPr>
        <w:fldChar w:fldCharType="separate"/>
      </w:r>
      <w:r>
        <w:rPr>
          <w:rFonts w:hint="eastAsia" w:ascii="Times New Roman" w:hAnsi="Times New Roman" w:eastAsia="宋体" w:cs="Times New Roman"/>
          <w:i w:val="0"/>
          <w:iCs w:val="0"/>
          <w:caps w:val="0"/>
          <w:color w:val="auto"/>
          <w:spacing w:val="0"/>
          <w:sz w:val="28"/>
          <w:szCs w:val="21"/>
          <w:highlight w:val="none"/>
          <w:u w:val="none"/>
        </w:rPr>
        <w:t>变压器</w:t>
      </w:r>
      <w:r>
        <w:rPr>
          <w:rFonts w:hint="eastAsia" w:ascii="Times New Roman" w:hAnsi="Times New Roman" w:eastAsia="宋体" w:cs="Times New Roman"/>
          <w:i w:val="0"/>
          <w:iCs w:val="0"/>
          <w:caps w:val="0"/>
          <w:color w:val="auto"/>
          <w:spacing w:val="0"/>
          <w:sz w:val="28"/>
          <w:szCs w:val="21"/>
          <w:highlight w:val="none"/>
          <w:u w:val="none"/>
        </w:rPr>
        <w:fldChar w:fldCharType="end"/>
      </w:r>
      <w:r>
        <w:rPr>
          <w:rFonts w:hint="eastAsia" w:ascii="Times New Roman" w:hAnsi="Times New Roman" w:eastAsia="宋体" w:cs="Times New Roman"/>
          <w:i w:val="0"/>
          <w:iCs w:val="0"/>
          <w:caps w:val="0"/>
          <w:color w:val="auto"/>
          <w:spacing w:val="0"/>
          <w:sz w:val="28"/>
          <w:szCs w:val="21"/>
          <w:highlight w:val="none"/>
        </w:rPr>
        <w:t>8台,共计4120千伏安。</w:t>
      </w:r>
    </w:p>
    <w:p>
      <w:pPr>
        <w:ind w:firstLine="560"/>
        <w:rPr>
          <w:rFonts w:hint="eastAsia" w:ascii="Times New Roman" w:hAnsi="Times New Roman" w:eastAsia="宋体" w:cs="Times New Roman"/>
          <w:i w:val="0"/>
          <w:iCs w:val="0"/>
          <w:caps w:val="0"/>
          <w:color w:val="auto"/>
          <w:spacing w:val="0"/>
          <w:sz w:val="28"/>
          <w:szCs w:val="21"/>
          <w:highlight w:val="none"/>
          <w:lang w:val="en-US"/>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分布式发电</w:t>
      </w:r>
    </w:p>
    <w:p>
      <w:pPr>
        <w:ind w:firstLine="560"/>
        <w:rPr>
          <w:rFonts w:hint="eastAsia"/>
          <w:color w:val="auto"/>
          <w:highlight w:val="none"/>
        </w:rPr>
      </w:pPr>
      <w:r>
        <w:rPr>
          <w:rFonts w:hint="eastAsia" w:ascii="Times New Roman" w:hAnsi="Times New Roman" w:eastAsia="宋体" w:cs="Times New Roman"/>
          <w:i w:val="0"/>
          <w:iCs w:val="0"/>
          <w:caps w:val="0"/>
          <w:color w:val="auto"/>
          <w:spacing w:val="0"/>
          <w:sz w:val="28"/>
          <w:szCs w:val="21"/>
          <w:highlight w:val="none"/>
        </w:rPr>
        <w:t>国网咸宁供电公司将按照高新区国土空间规划和产业发展规划要求，在“十四五”期间投资开发咸宁高新区清洁能源项目，总量达到15万千瓦，其中分布式光伏12万千瓦、储能电站3万千瓦，投资规模约5.5亿元。</w:t>
      </w:r>
    </w:p>
    <w:p>
      <w:pPr>
        <w:pStyle w:val="4"/>
        <w:numPr>
          <w:ilvl w:val="2"/>
          <w:numId w:val="2"/>
        </w:numPr>
        <w:ind w:left="709" w:hanging="709"/>
        <w:rPr>
          <w:color w:val="auto"/>
          <w:highlight w:val="none"/>
        </w:rPr>
      </w:pPr>
      <w:bookmarkStart w:id="37" w:name="_Toc8051"/>
      <w:r>
        <w:rPr>
          <w:rFonts w:hint="eastAsia"/>
          <w:color w:val="auto"/>
          <w:highlight w:val="none"/>
        </w:rPr>
        <w:t>天然气发展</w:t>
      </w:r>
      <w:r>
        <w:rPr>
          <w:color w:val="auto"/>
          <w:highlight w:val="none"/>
        </w:rPr>
        <w:t>规划</w:t>
      </w:r>
      <w:bookmarkEnd w:id="37"/>
    </w:p>
    <w:p>
      <w:pPr>
        <w:ind w:firstLine="560"/>
        <w:rPr>
          <w:rFonts w:hint="eastAsia"/>
          <w:color w:val="auto"/>
          <w:highlight w:val="none"/>
        </w:rPr>
      </w:pPr>
      <w:r>
        <w:rPr>
          <w:rFonts w:hint="eastAsia" w:ascii="Times New Roman" w:hAnsi="Times New Roman" w:eastAsia="宋体" w:cs="Times New Roman"/>
          <w:color w:val="auto"/>
          <w:kern w:val="2"/>
          <w:sz w:val="28"/>
          <w:szCs w:val="21"/>
          <w:highlight w:val="none"/>
          <w:lang w:val="en-US" w:eastAsia="zh-CN" w:bidi="ar-SA"/>
        </w:rPr>
        <w:t>为支持咸宁高新区规划发展及招商引资，为园区后续落户企业提供充足的能源保障，十四五期间咸宁昆仑公司还将投资2300万元对横沟阀室进行改扩建，投资3000万方协同、完善配套建设园区内市政中压管网</w:t>
      </w:r>
    </w:p>
    <w:p>
      <w:pPr>
        <w:pStyle w:val="4"/>
        <w:numPr>
          <w:ilvl w:val="2"/>
          <w:numId w:val="2"/>
        </w:numPr>
        <w:ind w:left="709" w:hanging="709"/>
        <w:rPr>
          <w:color w:val="auto"/>
          <w:highlight w:val="none"/>
        </w:rPr>
      </w:pPr>
      <w:bookmarkStart w:id="38" w:name="_Toc20568"/>
      <w:r>
        <w:rPr>
          <w:rFonts w:hint="eastAsia"/>
          <w:color w:val="auto"/>
          <w:highlight w:val="none"/>
        </w:rPr>
        <w:t>自来水及</w:t>
      </w:r>
      <w:r>
        <w:rPr>
          <w:color w:val="auto"/>
          <w:highlight w:val="none"/>
        </w:rPr>
        <w:t>工业水</w:t>
      </w:r>
      <w:r>
        <w:rPr>
          <w:rFonts w:hint="eastAsia"/>
          <w:color w:val="auto"/>
          <w:highlight w:val="none"/>
        </w:rPr>
        <w:t>发展</w:t>
      </w:r>
      <w:r>
        <w:rPr>
          <w:color w:val="auto"/>
          <w:highlight w:val="none"/>
        </w:rPr>
        <w:t>规划</w:t>
      </w:r>
      <w:bookmarkEnd w:id="38"/>
    </w:p>
    <w:p>
      <w:pPr>
        <w:ind w:firstLine="560"/>
        <w:rPr>
          <w:color w:val="auto"/>
          <w:highlight w:val="none"/>
        </w:rPr>
      </w:pPr>
      <w:r>
        <w:rPr>
          <w:rFonts w:hint="eastAsia"/>
          <w:color w:val="auto"/>
          <w:highlight w:val="none"/>
          <w:lang w:val="en-US" w:eastAsia="zh-CN"/>
        </w:rPr>
        <w:t>2022年10月，王英水厂开展供水增量提质工程，工程总投资4.79亿元，工程改造取水泵房，并新铺设38公里的输水管线。工程完工投运后，日供水能力达到</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rPr>
        <w:t>0万吨</w:t>
      </w:r>
      <w:r>
        <w:rPr>
          <w:rFonts w:hint="eastAsia" w:ascii="宋体" w:hAnsi="宋体" w:cs="宋体"/>
          <w:color w:val="auto"/>
          <w:sz w:val="28"/>
          <w:szCs w:val="28"/>
          <w:highlight w:val="none"/>
          <w:lang w:eastAsia="zh-CN"/>
        </w:rPr>
        <w:t>。</w:t>
      </w:r>
    </w:p>
    <w:p>
      <w:pPr>
        <w:pStyle w:val="4"/>
        <w:numPr>
          <w:ilvl w:val="2"/>
          <w:numId w:val="2"/>
        </w:numPr>
        <w:ind w:left="709" w:hanging="709"/>
        <w:rPr>
          <w:color w:val="auto"/>
          <w:highlight w:val="none"/>
        </w:rPr>
      </w:pPr>
      <w:bookmarkStart w:id="39" w:name="_Toc12956"/>
      <w:r>
        <w:rPr>
          <w:rFonts w:hint="eastAsia"/>
          <w:color w:val="auto"/>
          <w:highlight w:val="none"/>
        </w:rPr>
        <w:t>热力发展</w:t>
      </w:r>
      <w:r>
        <w:rPr>
          <w:color w:val="auto"/>
          <w:highlight w:val="none"/>
        </w:rPr>
        <w:t>规划</w:t>
      </w:r>
      <w:bookmarkEnd w:id="39"/>
    </w:p>
    <w:p>
      <w:pPr>
        <w:ind w:firstLine="560"/>
        <w:rPr>
          <w:color w:val="auto"/>
          <w:highlight w:val="none"/>
        </w:rPr>
      </w:pPr>
      <w:r>
        <w:rPr>
          <w:rFonts w:hint="eastAsia"/>
          <w:color w:val="auto"/>
          <w:highlight w:val="none"/>
        </w:rPr>
        <w:t>咸宁市首个热电分布式能源站项目由湖北环峰能源科技有限公司投资建设，已于2019年3月在咸宁高新区开工建设，用地面积约为89亩，以天然气为主，生物质能燃料为辅。项目分两期建设：一期工程规模为1套15MW燃气-蒸汽机组（含30t/h余热锅炉）；辅助配套锅炉：1台SZL35-1.6/250-SC型燃生物质锅炉（35t/h）和1台SZS15-1.6/250-Q型燃天然气锅炉（15t/h），额定压力均为1.6MPa，额定过热蒸汽温度均为250℃。远期规划新增一套同规模机组。该项目在园区负荷中心就近实现能源梯级利用，能源综合利用效率在70%以上，所</w:t>
      </w:r>
      <w:r>
        <w:rPr>
          <w:color w:val="auto"/>
          <w:highlight w:val="none"/>
        </w:rPr>
        <w:t>产生的蒸汽能有效</w:t>
      </w:r>
      <w:r>
        <w:rPr>
          <w:rFonts w:hint="eastAsia"/>
          <w:color w:val="auto"/>
          <w:highlight w:val="none"/>
        </w:rPr>
        <w:t>满足</w:t>
      </w:r>
      <w:r>
        <w:rPr>
          <w:color w:val="auto"/>
          <w:highlight w:val="none"/>
        </w:rPr>
        <w:t>园区工业企业</w:t>
      </w:r>
      <w:r>
        <w:rPr>
          <w:rFonts w:hint="eastAsia"/>
          <w:color w:val="auto"/>
          <w:highlight w:val="none"/>
        </w:rPr>
        <w:t>用热</w:t>
      </w:r>
      <w:r>
        <w:rPr>
          <w:color w:val="auto"/>
          <w:highlight w:val="none"/>
        </w:rPr>
        <w:t>需求。</w:t>
      </w:r>
    </w:p>
    <w:p>
      <w:pPr>
        <w:ind w:firstLine="560"/>
        <w:rPr>
          <w:color w:val="auto"/>
          <w:highlight w:val="none"/>
        </w:rPr>
      </w:pPr>
      <w:r>
        <w:rPr>
          <w:rFonts w:hint="eastAsia"/>
          <w:color w:val="auto"/>
          <w:highlight w:val="none"/>
        </w:rPr>
        <w:t>高新区</w:t>
      </w:r>
      <w:r>
        <w:rPr>
          <w:color w:val="auto"/>
          <w:highlight w:val="none"/>
        </w:rPr>
        <w:t>未来规划</w:t>
      </w:r>
      <w:r>
        <w:rPr>
          <w:rFonts w:hint="eastAsia"/>
          <w:color w:val="auto"/>
          <w:highlight w:val="none"/>
        </w:rPr>
        <w:t>再</w:t>
      </w:r>
      <w:r>
        <w:rPr>
          <w:color w:val="auto"/>
          <w:highlight w:val="none"/>
        </w:rPr>
        <w:t>新建</w:t>
      </w:r>
      <w:r>
        <w:rPr>
          <w:rFonts w:hint="eastAsia"/>
          <w:color w:val="auto"/>
          <w:highlight w:val="none"/>
        </w:rPr>
        <w:t>3处</w:t>
      </w:r>
      <w:r>
        <w:rPr>
          <w:color w:val="auto"/>
          <w:highlight w:val="none"/>
        </w:rPr>
        <w:t>热力</w:t>
      </w:r>
      <w:r>
        <w:rPr>
          <w:rFonts w:hint="eastAsia"/>
          <w:color w:val="auto"/>
          <w:highlight w:val="none"/>
        </w:rPr>
        <w:t>设施，并进一步</w:t>
      </w:r>
      <w:r>
        <w:rPr>
          <w:color w:val="auto"/>
          <w:highlight w:val="none"/>
        </w:rPr>
        <w:t>完善园区</w:t>
      </w:r>
      <w:r>
        <w:rPr>
          <w:rFonts w:hint="eastAsia"/>
          <w:color w:val="auto"/>
          <w:highlight w:val="none"/>
        </w:rPr>
        <w:t>热力</w:t>
      </w:r>
      <w:r>
        <w:rPr>
          <w:color w:val="auto"/>
          <w:highlight w:val="none"/>
        </w:rPr>
        <w:t>管网设施，</w:t>
      </w:r>
      <w:r>
        <w:rPr>
          <w:rFonts w:hint="eastAsia"/>
          <w:color w:val="auto"/>
          <w:highlight w:val="none"/>
        </w:rPr>
        <w:t>完成区内</w:t>
      </w:r>
      <w:r>
        <w:rPr>
          <w:color w:val="auto"/>
          <w:highlight w:val="none"/>
        </w:rPr>
        <w:t>主管网</w:t>
      </w:r>
      <w:r>
        <w:rPr>
          <w:rFonts w:hint="eastAsia"/>
          <w:color w:val="auto"/>
          <w:highlight w:val="none"/>
        </w:rPr>
        <w:t>110公里</w:t>
      </w:r>
      <w:r>
        <w:rPr>
          <w:color w:val="auto"/>
          <w:highlight w:val="none"/>
        </w:rPr>
        <w:t>、支管网</w:t>
      </w:r>
      <w:r>
        <w:rPr>
          <w:rFonts w:hint="eastAsia"/>
          <w:color w:val="auto"/>
          <w:highlight w:val="none"/>
        </w:rPr>
        <w:t>220公里的</w:t>
      </w:r>
      <w:r>
        <w:rPr>
          <w:color w:val="auto"/>
          <w:highlight w:val="none"/>
        </w:rPr>
        <w:t>配套建设</w:t>
      </w:r>
      <w:r>
        <w:rPr>
          <w:rFonts w:hint="eastAsia"/>
          <w:color w:val="auto"/>
          <w:highlight w:val="none"/>
        </w:rPr>
        <w:t>，全面</w:t>
      </w:r>
      <w:r>
        <w:rPr>
          <w:color w:val="auto"/>
          <w:highlight w:val="none"/>
        </w:rPr>
        <w:t>覆盖高新区内工业级生活用热需求。</w:t>
      </w:r>
    </w:p>
    <w:p>
      <w:pPr>
        <w:ind w:firstLine="560"/>
        <w:rPr>
          <w:color w:val="auto"/>
          <w:highlight w:val="none"/>
        </w:rPr>
      </w:pPr>
      <w:r>
        <w:rPr>
          <w:color w:val="auto"/>
          <w:highlight w:val="none"/>
        </w:rPr>
        <w:br w:type="page"/>
      </w:r>
    </w:p>
    <w:p>
      <w:pPr>
        <w:pStyle w:val="2"/>
        <w:numPr>
          <w:ilvl w:val="0"/>
          <w:numId w:val="2"/>
        </w:numPr>
        <w:ind w:left="425" w:leftChars="0" w:hanging="425" w:firstLineChars="0"/>
        <w:rPr>
          <w:color w:val="auto"/>
          <w:highlight w:val="none"/>
        </w:rPr>
      </w:pPr>
      <w:bookmarkStart w:id="40" w:name="_Toc5223"/>
      <w:r>
        <w:rPr>
          <w:rFonts w:hint="eastAsia"/>
          <w:color w:val="auto"/>
          <w:highlight w:val="none"/>
        </w:rPr>
        <w:t>区域</w:t>
      </w:r>
      <w:r>
        <w:rPr>
          <w:color w:val="auto"/>
          <w:highlight w:val="none"/>
        </w:rPr>
        <w:t>用能预测及总量控制分析</w:t>
      </w:r>
      <w:bookmarkEnd w:id="40"/>
    </w:p>
    <w:p>
      <w:pPr>
        <w:pStyle w:val="3"/>
        <w:numPr>
          <w:ilvl w:val="1"/>
          <w:numId w:val="2"/>
        </w:numPr>
        <w:ind w:left="567" w:hanging="567"/>
        <w:rPr>
          <w:color w:val="auto"/>
          <w:highlight w:val="none"/>
        </w:rPr>
      </w:pPr>
      <w:bookmarkStart w:id="41" w:name="_Toc24307"/>
      <w:r>
        <w:rPr>
          <w:rFonts w:hint="eastAsia"/>
          <w:color w:val="auto"/>
          <w:highlight w:val="none"/>
        </w:rPr>
        <w:t>区域能源</w:t>
      </w:r>
      <w:r>
        <w:rPr>
          <w:rFonts w:ascii="黑体" w:hAnsi="黑体"/>
          <w:color w:val="auto"/>
          <w:highlight w:val="none"/>
        </w:rPr>
        <w:t>“</w:t>
      </w:r>
      <w:r>
        <w:rPr>
          <w:rFonts w:hint="eastAsia" w:ascii="黑体" w:hAnsi="黑体"/>
          <w:color w:val="auto"/>
          <w:highlight w:val="none"/>
        </w:rPr>
        <w:t>双控</w:t>
      </w:r>
      <w:r>
        <w:rPr>
          <w:rFonts w:ascii="黑体" w:hAnsi="黑体"/>
          <w:color w:val="auto"/>
          <w:highlight w:val="none"/>
        </w:rPr>
        <w:t>”</w:t>
      </w:r>
      <w:r>
        <w:rPr>
          <w:rFonts w:hint="eastAsia"/>
          <w:color w:val="auto"/>
          <w:highlight w:val="none"/>
        </w:rPr>
        <w:t>目标</w:t>
      </w:r>
      <w:r>
        <w:rPr>
          <w:color w:val="auto"/>
          <w:highlight w:val="none"/>
        </w:rPr>
        <w:t>完成情况</w:t>
      </w:r>
      <w:bookmarkEnd w:id="41"/>
    </w:p>
    <w:p>
      <w:pPr>
        <w:ind w:firstLine="560"/>
        <w:rPr>
          <w:rFonts w:hint="eastAsia"/>
          <w:color w:val="auto"/>
          <w:highlight w:val="none"/>
          <w:lang w:val="en-US" w:eastAsia="zh-CN"/>
        </w:rPr>
      </w:pPr>
      <w:r>
        <w:rPr>
          <w:rFonts w:hint="eastAsia"/>
          <w:color w:val="auto"/>
          <w:highlight w:val="none"/>
          <w:lang w:val="en-US" w:eastAsia="zh-CN"/>
        </w:rPr>
        <w:t>咸宁市未完成“十四五”中期节能考核目标，完成情况见下表。</w:t>
      </w:r>
    </w:p>
    <w:p>
      <w:pPr>
        <w:pStyle w:val="9"/>
        <w:keepNext/>
        <w:rPr>
          <w:rFonts w:hint="eastAsia"/>
          <w:color w:val="auto"/>
          <w:highlight w:val="none"/>
          <w:lang w:val="en-US" w:eastAsia="zh-CN"/>
        </w:rPr>
      </w:pPr>
      <w:r>
        <w:rPr>
          <w:rFonts w:hint="eastAsia"/>
          <w:color w:val="auto"/>
          <w:highlight w:val="none"/>
        </w:rPr>
        <w:t>表</w:t>
      </w:r>
      <w:r>
        <w:rPr>
          <w:rFonts w:hint="eastAsia"/>
          <w:color w:val="auto"/>
          <w:highlight w:val="none"/>
          <w:lang w:val="en-US" w:eastAsia="zh-CN"/>
        </w:rPr>
        <w:t>4</w:t>
      </w:r>
      <w:r>
        <w:rPr>
          <w:rFonts w:hint="eastAsia"/>
          <w:color w:val="auto"/>
          <w:highlight w:val="none"/>
        </w:rPr>
        <w:t>-</w:t>
      </w:r>
      <w:r>
        <w:rPr>
          <w:rFonts w:hint="eastAsia"/>
          <w:color w:val="auto"/>
          <w:highlight w:val="none"/>
        </w:rPr>
        <w:fldChar w:fldCharType="begin"/>
      </w:r>
      <w:r>
        <w:rPr>
          <w:rFonts w:hint="eastAsia"/>
          <w:color w:val="auto"/>
          <w:highlight w:val="none"/>
        </w:rPr>
        <w:instrText xml:space="preserve"> SEQ 表 \* ARABIC </w:instrText>
      </w:r>
      <w:r>
        <w:rPr>
          <w:rFonts w:hint="eastAsia"/>
          <w:color w:val="auto"/>
          <w:highlight w:val="none"/>
        </w:rPr>
        <w:fldChar w:fldCharType="separate"/>
      </w:r>
      <w:r>
        <w:rPr>
          <w:rFonts w:hint="eastAsia"/>
          <w:color w:val="auto"/>
          <w:highlight w:val="none"/>
        </w:rPr>
        <w:t>1</w:t>
      </w:r>
      <w:r>
        <w:rPr>
          <w:rFonts w:hint="eastAsia"/>
          <w:color w:val="auto"/>
          <w:highlight w:val="none"/>
        </w:rPr>
        <w:fldChar w:fldCharType="end"/>
      </w:r>
      <w:r>
        <w:rPr>
          <w:rFonts w:hint="eastAsia"/>
          <w:color w:val="auto"/>
          <w:highlight w:val="none"/>
        </w:rPr>
        <w:t xml:space="preserve"> </w:t>
      </w:r>
      <w:r>
        <w:rPr>
          <w:rFonts w:hint="eastAsia"/>
          <w:color w:val="auto"/>
          <w:highlight w:val="none"/>
          <w:lang w:val="en-US" w:eastAsia="zh-CN"/>
        </w:rPr>
        <w:t xml:space="preserve"> 咸宁市“十四五”中期节能目标完成情况表</w:t>
      </w:r>
    </w:p>
    <w:tbl>
      <w:tblPr>
        <w:tblStyle w:val="2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8"/>
        <w:gridCol w:w="1279"/>
        <w:gridCol w:w="1327"/>
        <w:gridCol w:w="877"/>
        <w:gridCol w:w="925"/>
        <w:gridCol w:w="980"/>
        <w:gridCol w:w="23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b/>
                <w:bCs/>
                <w:i w:val="0"/>
                <w:iCs w:val="0"/>
                <w:color w:val="auto"/>
                <w:sz w:val="24"/>
                <w:szCs w:val="24"/>
                <w:highlight w:val="none"/>
                <w:u w:val="none"/>
              </w:rPr>
            </w:pPr>
            <w:r>
              <w:rPr>
                <w:rFonts w:hint="default" w:ascii="Arial" w:hAnsi="Arial" w:cs="Arial"/>
                <w:b/>
                <w:bCs/>
                <w:i w:val="0"/>
                <w:iCs w:val="0"/>
                <w:color w:val="auto"/>
                <w:sz w:val="24"/>
                <w:szCs w:val="24"/>
                <w:highlight w:val="none"/>
                <w:u w:val="none"/>
                <w:lang w:val="en-US" w:eastAsia="zh-CN"/>
              </w:rPr>
              <w:t>地区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left"/>
              <w:textAlignment w:val="center"/>
              <w:rPr>
                <w:rFonts w:hint="default" w:ascii="Arial" w:hAnsi="Arial" w:cs="Arial"/>
                <w:b/>
                <w:bCs/>
                <w:i w:val="0"/>
                <w:iCs w:val="0"/>
                <w:color w:val="auto"/>
                <w:sz w:val="24"/>
                <w:szCs w:val="24"/>
                <w:highlight w:val="none"/>
                <w:u w:val="none"/>
              </w:rPr>
            </w:pPr>
            <w:r>
              <w:rPr>
                <w:rStyle w:val="96"/>
                <w:b/>
                <w:bCs/>
                <w:color w:val="auto"/>
                <w:highlight w:val="none"/>
                <w:lang w:val="en-US" w:eastAsia="zh-CN" w:bidi="ar"/>
              </w:rPr>
              <w:t>“十四五”能耗强度下降目标(%)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b/>
                <w:bCs/>
                <w:i w:val="0"/>
                <w:iCs w:val="0"/>
                <w:color w:val="auto"/>
                <w:sz w:val="24"/>
                <w:szCs w:val="24"/>
                <w:highlight w:val="none"/>
                <w:u w:val="none"/>
              </w:rPr>
            </w:pPr>
            <w:r>
              <w:rPr>
                <w:rStyle w:val="96"/>
                <w:b/>
                <w:bCs/>
                <w:color w:val="auto"/>
                <w:highlight w:val="none"/>
                <w:lang w:val="en-US" w:eastAsia="zh-CN" w:bidi="ar"/>
              </w:rPr>
              <w:t>能耗强度下降完成情况(%)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Style w:val="96"/>
                <w:b/>
                <w:bCs/>
                <w:color w:val="auto"/>
                <w:highlight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b/>
                <w:bCs/>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b/>
                <w:bCs/>
                <w:i w:val="0"/>
                <w:iCs w:val="0"/>
                <w:color w:val="auto"/>
                <w:sz w:val="24"/>
                <w:szCs w:val="24"/>
                <w:highlight w:val="none"/>
                <w:u w:val="none"/>
              </w:rPr>
            </w:pPr>
            <w:r>
              <w:rPr>
                <w:rStyle w:val="96"/>
                <w:b/>
                <w:bCs/>
                <w:color w:val="auto"/>
                <w:highlight w:val="none"/>
                <w:lang w:val="en-US" w:eastAsia="zh-CN" w:bidi="ar"/>
              </w:rPr>
              <w:t>基本目标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Style w:val="96"/>
                <w:rFonts w:hint="default"/>
                <w:b/>
                <w:bCs/>
                <w:i w:val="0"/>
                <w:iCs w:val="0"/>
                <w:color w:val="auto"/>
                <w:highlight w:val="none"/>
                <w:lang w:val="en-US" w:eastAsia="zh-CN" w:bidi="ar"/>
              </w:rPr>
            </w:pPr>
            <w:r>
              <w:rPr>
                <w:rStyle w:val="96"/>
                <w:b/>
                <w:bCs/>
                <w:i w:val="0"/>
                <w:iCs w:val="0"/>
                <w:color w:val="auto"/>
                <w:highlight w:val="none"/>
                <w:lang w:val="en-US" w:eastAsia="zh-CN" w:bidi="ar"/>
              </w:rPr>
              <w:t>年均进度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Style w:val="96"/>
                <w:rFonts w:hint="default"/>
                <w:b/>
                <w:bCs/>
                <w:i w:val="0"/>
                <w:iCs w:val="0"/>
                <w:color w:val="auto"/>
                <w:highlight w:val="none"/>
                <w:lang w:val="en-US" w:eastAsia="zh-CN" w:bidi="ar"/>
              </w:rPr>
            </w:pPr>
            <w:r>
              <w:rPr>
                <w:rStyle w:val="96"/>
                <w:b/>
                <w:bCs/>
                <w:i w:val="0"/>
                <w:iCs w:val="0"/>
                <w:color w:val="auto"/>
                <w:highlight w:val="none"/>
                <w:lang w:val="en-US" w:eastAsia="zh-CN" w:bidi="ar"/>
              </w:rPr>
              <w:t>2021年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Style w:val="96"/>
                <w:rFonts w:hint="default"/>
                <w:b/>
                <w:bCs/>
                <w:i w:val="0"/>
                <w:iCs w:val="0"/>
                <w:color w:val="auto"/>
                <w:highlight w:val="none"/>
                <w:lang w:val="en-US" w:eastAsia="zh-CN" w:bidi="ar"/>
              </w:rPr>
            </w:pPr>
            <w:r>
              <w:rPr>
                <w:rStyle w:val="96"/>
                <w:b/>
                <w:bCs/>
                <w:i w:val="0"/>
                <w:iCs w:val="0"/>
                <w:color w:val="auto"/>
                <w:highlight w:val="none"/>
                <w:lang w:val="en-US" w:eastAsia="zh-CN" w:bidi="ar"/>
              </w:rPr>
              <w:t>2022年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b/>
                <w:bCs/>
                <w:i w:val="0"/>
                <w:iCs w:val="0"/>
                <w:color w:val="auto"/>
                <w:sz w:val="24"/>
                <w:szCs w:val="24"/>
                <w:highlight w:val="none"/>
                <w:u w:val="none"/>
              </w:rPr>
            </w:pPr>
            <w:r>
              <w:rPr>
                <w:rStyle w:val="96"/>
                <w:b/>
                <w:bCs/>
                <w:color w:val="auto"/>
                <w:highlight w:val="none"/>
                <w:lang w:val="en-US" w:eastAsia="zh-CN" w:bidi="ar"/>
              </w:rPr>
              <w:t>两年累计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Style w:val="96"/>
                <w:rFonts w:hint="default"/>
                <w:b/>
                <w:bCs/>
                <w:color w:val="auto"/>
                <w:highlight w:val="none"/>
                <w:lang w:val="en-US" w:eastAsia="zh-CN" w:bidi="ar"/>
              </w:rPr>
            </w:pPr>
            <w:r>
              <w:rPr>
                <w:rStyle w:val="96"/>
                <w:rFonts w:hint="eastAsia"/>
                <w:b/>
                <w:bCs/>
                <w:color w:val="auto"/>
                <w:highlight w:val="none"/>
                <w:lang w:val="en-US" w:eastAsia="zh-CN" w:bidi="ar"/>
              </w:rPr>
              <w:t>“十四五”后半程年均下降目标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i w:val="0"/>
                <w:iCs w:val="0"/>
                <w:color w:val="auto"/>
                <w:sz w:val="24"/>
                <w:szCs w:val="24"/>
                <w:highlight w:val="none"/>
                <w:u w:val="none"/>
              </w:rPr>
            </w:pPr>
            <w:r>
              <w:rPr>
                <w:rFonts w:hint="default" w:ascii="Arial" w:hAnsi="Arial" w:cs="Arial"/>
                <w:i w:val="0"/>
                <w:iCs w:val="0"/>
                <w:color w:val="auto"/>
                <w:sz w:val="24"/>
                <w:szCs w:val="24"/>
                <w:highlight w:val="none"/>
                <w:u w:val="none"/>
                <w:lang w:val="en-US" w:eastAsia="zh-CN"/>
              </w:rPr>
              <w:t>全省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i w:val="0"/>
                <w:iCs w:val="0"/>
                <w:color w:val="auto"/>
                <w:sz w:val="24"/>
                <w:szCs w:val="24"/>
                <w:highlight w:val="none"/>
                <w:u w:val="none"/>
              </w:rPr>
            </w:pPr>
            <w:r>
              <w:rPr>
                <w:rFonts w:hint="default" w:ascii="Arial" w:hAnsi="Arial" w:cs="Arial"/>
                <w:i w:val="0"/>
                <w:iCs w:val="0"/>
                <w:color w:val="auto"/>
                <w:sz w:val="24"/>
                <w:szCs w:val="24"/>
                <w:highlight w:val="none"/>
                <w:u w:val="none"/>
                <w:lang w:val="en-US" w:eastAsia="zh-CN"/>
              </w:rPr>
              <w:t>咸宁市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6.6</w:t>
            </w:r>
          </w:p>
        </w:tc>
      </w:tr>
    </w:tbl>
    <w:p>
      <w:pPr>
        <w:ind w:firstLine="560"/>
        <w:rPr>
          <w:rFonts w:hint="eastAsia"/>
          <w:color w:val="auto"/>
          <w:highlight w:val="none"/>
        </w:rPr>
      </w:pPr>
    </w:p>
    <w:p>
      <w:pPr>
        <w:spacing w:line="240" w:lineRule="auto"/>
        <w:ind w:firstLine="560"/>
        <w:jc w:val="left"/>
        <w:rPr>
          <w:color w:val="auto"/>
          <w:highlight w:val="none"/>
        </w:rPr>
      </w:pPr>
      <w:r>
        <w:rPr>
          <w:rFonts w:hint="eastAsia"/>
          <w:color w:val="auto"/>
          <w:highlight w:val="none"/>
        </w:rPr>
        <w:t>咸宁</w:t>
      </w:r>
      <w:r>
        <w:rPr>
          <w:color w:val="auto"/>
          <w:highlight w:val="none"/>
        </w:rPr>
        <w:t>高新区</w:t>
      </w:r>
      <w:r>
        <w:rPr>
          <w:rFonts w:hint="eastAsia"/>
          <w:color w:val="auto"/>
          <w:sz w:val="28"/>
          <w:highlight w:val="none"/>
          <w:lang w:val="en-US" w:eastAsia="zh-CN"/>
        </w:rPr>
        <w:t>2020-2022年能源消费总量情况见下表。</w:t>
      </w:r>
    </w:p>
    <w:p>
      <w:pPr>
        <w:pStyle w:val="9"/>
        <w:keepNext/>
        <w:rPr>
          <w:rFonts w:hint="eastAsia"/>
          <w:color w:val="auto"/>
          <w:highlight w:val="none"/>
          <w:lang w:val="en-US"/>
        </w:rPr>
      </w:pPr>
      <w:r>
        <w:rPr>
          <w:rFonts w:hint="eastAsia"/>
          <w:color w:val="auto"/>
          <w:highlight w:val="none"/>
        </w:rPr>
        <w:t>表</w:t>
      </w:r>
      <w:r>
        <w:rPr>
          <w:rFonts w:hint="eastAsia"/>
          <w:color w:val="auto"/>
          <w:highlight w:val="none"/>
          <w:lang w:val="en-US" w:eastAsia="zh-CN"/>
        </w:rPr>
        <w:t>4</w:t>
      </w:r>
      <w:r>
        <w:rPr>
          <w:rFonts w:hint="eastAsia"/>
          <w:color w:val="auto"/>
          <w:highlight w:val="none"/>
        </w:rPr>
        <w:t>-</w:t>
      </w:r>
      <w:r>
        <w:rPr>
          <w:rFonts w:hint="eastAsia"/>
          <w:color w:val="auto"/>
          <w:highlight w:val="none"/>
        </w:rPr>
        <w:fldChar w:fldCharType="begin"/>
      </w:r>
      <w:r>
        <w:rPr>
          <w:rFonts w:hint="eastAsia"/>
          <w:color w:val="auto"/>
          <w:highlight w:val="none"/>
        </w:rPr>
        <w:instrText xml:space="preserve"> SEQ 表 \* ARABIC </w:instrText>
      </w:r>
      <w:r>
        <w:rPr>
          <w:rFonts w:hint="eastAsia"/>
          <w:color w:val="auto"/>
          <w:highlight w:val="none"/>
        </w:rPr>
        <w:fldChar w:fldCharType="separate"/>
      </w:r>
      <w:r>
        <w:rPr>
          <w:rFonts w:hint="eastAsia"/>
          <w:color w:val="auto"/>
          <w:highlight w:val="none"/>
        </w:rPr>
        <w:t>2</w:t>
      </w:r>
      <w:r>
        <w:rPr>
          <w:rFonts w:hint="eastAsia"/>
          <w:color w:val="auto"/>
          <w:highlight w:val="none"/>
        </w:rPr>
        <w:fldChar w:fldCharType="end"/>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咸宁高新区</w:t>
      </w:r>
      <w:r>
        <w:rPr>
          <w:rFonts w:hint="eastAsia"/>
          <w:color w:val="auto"/>
          <w:highlight w:val="none"/>
          <w:lang w:val="en-US" w:eastAsia="zh-CN"/>
        </w:rPr>
        <w:t>区域内</w:t>
      </w:r>
      <w:r>
        <w:rPr>
          <w:rFonts w:hint="eastAsia"/>
          <w:color w:val="auto"/>
          <w:sz w:val="24"/>
          <w:highlight w:val="none"/>
          <w:lang w:val="en-US" w:eastAsia="zh-CN"/>
        </w:rPr>
        <w:t>能源消费总量表</w:t>
      </w:r>
    </w:p>
    <w:tbl>
      <w:tblPr>
        <w:tblStyle w:val="28"/>
        <w:tblW w:w="842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4"/>
        <w:gridCol w:w="2737"/>
        <w:gridCol w:w="1624"/>
        <w:gridCol w:w="1624"/>
        <w:gridCol w:w="16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2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能源消耗品种类</w:t>
            </w:r>
          </w:p>
        </w:tc>
        <w:tc>
          <w:tcPr>
            <w:tcW w:w="490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能源消耗量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hint="eastAsia" w:ascii="宋体" w:hAnsi="宋体" w:eastAsia="宋体" w:cs="宋体"/>
                <w:b/>
                <w:bCs/>
                <w:i w:val="0"/>
                <w:iCs w:val="0"/>
                <w:color w:val="auto"/>
                <w:kern w:val="0"/>
                <w:sz w:val="24"/>
                <w:szCs w:val="24"/>
                <w:highlight w:val="none"/>
                <w:u w:val="none"/>
                <w:lang w:bidi="ar"/>
              </w:rPr>
            </w:pPr>
          </w:p>
        </w:tc>
        <w:tc>
          <w:tcPr>
            <w:tcW w:w="2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b/>
                <w:bCs/>
                <w:i w:val="0"/>
                <w:iCs w:val="0"/>
                <w:color w:val="auto"/>
                <w:kern w:val="0"/>
                <w:sz w:val="24"/>
                <w:szCs w:val="24"/>
                <w:highlight w:val="none"/>
                <w:u w:val="none"/>
                <w:lang w:bidi="ar"/>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2020</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2021</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2022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天然气（万立方米）</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13300</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vertAlign w:val="baseline"/>
                <w:lang w:val="en-US" w:eastAsia="zh-CN"/>
              </w:rPr>
              <w:t>13700</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vertAlign w:val="baseline"/>
                <w:lang w:val="en-US" w:eastAsia="zh-CN"/>
              </w:rPr>
              <w:t>14100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汽油（吨）</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113.44</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210.15</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67.45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柴油（吨）</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692.39</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400.15</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274.95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热力（百万千焦）</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val="en-US" w:bidi="ar"/>
              </w:rPr>
            </w:pPr>
            <w:r>
              <w:rPr>
                <w:rFonts w:hint="eastAsia" w:ascii="宋体" w:hAnsi="宋体" w:eastAsia="宋体" w:cs="宋体"/>
                <w:i w:val="0"/>
                <w:iCs w:val="0"/>
                <w:color w:val="auto"/>
                <w:kern w:val="0"/>
                <w:sz w:val="24"/>
                <w:szCs w:val="24"/>
                <w:highlight w:val="none"/>
                <w:u w:val="none"/>
                <w:lang w:val="en-US" w:eastAsia="zh-CN" w:bidi="ar"/>
              </w:rPr>
              <w:t>0(疫情影响)</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88436.40</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119704.08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5</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电力（万千万时）</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43083</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51456</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58733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综合能源消费量（tce）</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21638</w:t>
            </w:r>
            <w:r>
              <w:rPr>
                <w:rFonts w:hint="eastAsia" w:ascii="宋体" w:hAnsi="宋体" w:cs="宋体"/>
                <w:i w:val="0"/>
                <w:iCs w:val="0"/>
                <w:color w:val="auto"/>
                <w:kern w:val="0"/>
                <w:sz w:val="24"/>
                <w:szCs w:val="24"/>
                <w:highlight w:val="none"/>
                <w:u w:val="none"/>
                <w:lang w:val="en-US" w:eastAsia="zh-CN" w:bidi="ar"/>
              </w:rPr>
              <w:t>5</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2342</w:t>
            </w:r>
            <w:r>
              <w:rPr>
                <w:rFonts w:hint="eastAsia" w:ascii="宋体" w:hAnsi="宋体" w:cs="宋体"/>
                <w:i w:val="0"/>
                <w:iCs w:val="0"/>
                <w:color w:val="auto"/>
                <w:kern w:val="0"/>
                <w:sz w:val="24"/>
                <w:szCs w:val="24"/>
                <w:highlight w:val="none"/>
                <w:u w:val="none"/>
                <w:lang w:val="en-US" w:eastAsia="zh-CN" w:bidi="ar"/>
              </w:rPr>
              <w:t>90</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24878</w:t>
            </w:r>
            <w:r>
              <w:rPr>
                <w:rFonts w:hint="eastAsia" w:ascii="宋体" w:hAnsi="宋体" w:cs="宋体"/>
                <w:i w:val="0"/>
                <w:iCs w:val="0"/>
                <w:color w:val="auto"/>
                <w:kern w:val="0"/>
                <w:sz w:val="24"/>
                <w:szCs w:val="24"/>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7</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水（立方米）</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3448864</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3865009</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4316432</w:t>
            </w:r>
          </w:p>
        </w:tc>
      </w:tr>
    </w:tbl>
    <w:p>
      <w:pPr>
        <w:spacing w:line="240" w:lineRule="auto"/>
        <w:ind w:firstLine="360"/>
        <w:rPr>
          <w:color w:val="auto"/>
          <w:sz w:val="18"/>
          <w:highlight w:val="none"/>
        </w:rPr>
      </w:pPr>
    </w:p>
    <w:p>
      <w:pPr>
        <w:spacing w:line="240" w:lineRule="auto"/>
        <w:ind w:firstLine="360"/>
        <w:rPr>
          <w:color w:val="auto"/>
          <w:sz w:val="18"/>
          <w:highlight w:val="none"/>
        </w:rPr>
      </w:pPr>
    </w:p>
    <w:p>
      <w:pPr>
        <w:pStyle w:val="3"/>
        <w:numPr>
          <w:ilvl w:val="1"/>
          <w:numId w:val="2"/>
        </w:numPr>
        <w:ind w:left="567" w:hanging="567"/>
        <w:rPr>
          <w:color w:val="auto"/>
          <w:highlight w:val="none"/>
        </w:rPr>
      </w:pPr>
      <w:bookmarkStart w:id="42" w:name="_Toc21115"/>
      <w:r>
        <w:rPr>
          <w:rFonts w:hint="eastAsia"/>
          <w:color w:val="auto"/>
          <w:highlight w:val="none"/>
        </w:rPr>
        <w:t>区域</w:t>
      </w:r>
      <w:r>
        <w:rPr>
          <w:color w:val="auto"/>
          <w:highlight w:val="none"/>
        </w:rPr>
        <w:t>能源</w:t>
      </w:r>
      <w:r>
        <w:rPr>
          <w:rFonts w:hint="eastAsia"/>
          <w:color w:val="auto"/>
          <w:highlight w:val="none"/>
        </w:rPr>
        <w:t>“</w:t>
      </w:r>
      <w:r>
        <w:rPr>
          <w:color w:val="auto"/>
          <w:highlight w:val="none"/>
        </w:rPr>
        <w:t>双控</w:t>
      </w:r>
      <w:r>
        <w:rPr>
          <w:rFonts w:hint="eastAsia"/>
          <w:color w:val="auto"/>
          <w:highlight w:val="none"/>
        </w:rPr>
        <w:t>”</w:t>
      </w:r>
      <w:r>
        <w:rPr>
          <w:color w:val="auto"/>
          <w:highlight w:val="none"/>
        </w:rPr>
        <w:t>指标确定</w:t>
      </w:r>
      <w:bookmarkEnd w:id="42"/>
    </w:p>
    <w:p>
      <w:pPr>
        <w:numPr>
          <w:ilvl w:val="0"/>
          <w:numId w:val="8"/>
        </w:numPr>
        <w:bidi w:val="0"/>
        <w:ind w:left="0" w:leftChars="0" w:firstLine="560" w:firstLineChars="200"/>
        <w:rPr>
          <w:rFonts w:hint="default" w:ascii="Times New Roman" w:hAnsi="Times New Roman" w:eastAsia="宋体" w:cs="Times New Roman"/>
          <w:color w:val="auto"/>
          <w:highlight w:val="none"/>
          <w:lang w:val="en-US" w:eastAsia="zh-CN"/>
        </w:rPr>
      </w:pPr>
      <w:r>
        <w:rPr>
          <w:rFonts w:hint="eastAsia" w:cs="Times New Roman"/>
          <w:b w:val="0"/>
          <w:bCs w:val="0"/>
          <w:color w:val="auto"/>
          <w:sz w:val="28"/>
          <w:szCs w:val="28"/>
          <w:highlight w:val="none"/>
          <w:lang w:val="en-US" w:eastAsia="zh-CN"/>
        </w:rPr>
        <w:t>高新区</w:t>
      </w:r>
      <w:r>
        <w:rPr>
          <w:rFonts w:hint="eastAsia" w:cs="Times New Roman"/>
          <w:b w:val="0"/>
          <w:bCs w:val="0"/>
          <w:color w:val="auto"/>
          <w:sz w:val="28"/>
          <w:szCs w:val="28"/>
          <w:highlight w:val="none"/>
          <w:lang w:eastAsia="zh-CN"/>
        </w:rPr>
        <w:t>“</w:t>
      </w:r>
      <w:r>
        <w:rPr>
          <w:rFonts w:hint="default" w:ascii="Times New Roman" w:hAnsi="Times New Roman" w:eastAsia="宋体" w:cs="Times New Roman"/>
          <w:b w:val="0"/>
          <w:bCs w:val="0"/>
          <w:color w:val="auto"/>
          <w:sz w:val="28"/>
          <w:szCs w:val="28"/>
          <w:highlight w:val="none"/>
          <w:lang w:eastAsia="zh-CN"/>
        </w:rPr>
        <w:t>十四五</w:t>
      </w:r>
      <w:r>
        <w:rPr>
          <w:rFonts w:hint="eastAsia" w:cs="Times New Roman"/>
          <w:b w:val="0"/>
          <w:bCs w:val="0"/>
          <w:color w:val="auto"/>
          <w:sz w:val="28"/>
          <w:szCs w:val="28"/>
          <w:highlight w:val="none"/>
          <w:lang w:eastAsia="zh-CN"/>
        </w:rPr>
        <w:t>”</w:t>
      </w:r>
      <w:r>
        <w:rPr>
          <w:rFonts w:hint="default" w:ascii="Times New Roman" w:hAnsi="Times New Roman" w:eastAsia="宋体" w:cs="Times New Roman"/>
          <w:b w:val="0"/>
          <w:bCs w:val="0"/>
          <w:color w:val="auto"/>
          <w:sz w:val="28"/>
          <w:szCs w:val="28"/>
          <w:highlight w:val="none"/>
          <w:lang w:eastAsia="zh-CN"/>
        </w:rPr>
        <w:t>能耗双控工作要求</w:t>
      </w:r>
    </w:p>
    <w:p>
      <w:pPr>
        <w:bidi w:val="0"/>
        <w:ind w:left="0" w:leftChars="0" w:firstLine="56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 1 \* GB3 \* MERGEFORMAT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rPr>
        <w:t>①</w:t>
      </w:r>
      <w:r>
        <w:rPr>
          <w:rFonts w:hint="default" w:ascii="Times New Roman" w:hAnsi="Times New Roman" w:eastAsia="宋体" w:cs="Times New Roman"/>
          <w:color w:val="auto"/>
          <w:highlight w:val="none"/>
          <w:lang w:val="en-US" w:eastAsia="zh-CN"/>
        </w:rPr>
        <w:fldChar w:fldCharType="end"/>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十四五</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期间，国家继续强化能耗强度约束性指标管理，继续执行严格的能耗双控责任目标考核制度；</w:t>
      </w:r>
    </w:p>
    <w:p>
      <w:pPr>
        <w:bidi w:val="0"/>
        <w:ind w:left="0" w:leftChars="0" w:firstLine="56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 2 \* GB3 \* MERGEFORMAT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rPr>
        <w:t>②</w:t>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重点工业行业（水泥、煤炭、钢铁、磷铵等过剩产能）新建项目必须严格执行产能等量或减量置换，并逐步扩大产能减量置换的高耗能产品范围；</w:t>
      </w:r>
    </w:p>
    <w:p>
      <w:pPr>
        <w:bidi w:val="0"/>
        <w:ind w:left="0" w:leftChars="0" w:firstLine="56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 3 \* GB3 \* MERGEFORMAT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rPr>
        <w:t>③</w:t>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严格落实固定资产投资项目节能审查制度，进一步加强对能源消费量大，特别是化石能源消费量大的固定资产投资项目节能审查，要严格按照国家、省、市有关规定落实产能置换、煤炭消费等量减量替代制度。</w:t>
      </w:r>
    </w:p>
    <w:p>
      <w:pPr>
        <w:pStyle w:val="93"/>
        <w:numPr>
          <w:ilvl w:val="0"/>
          <w:numId w:val="8"/>
        </w:numP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开发区</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十四五</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双控目标预测</w:t>
      </w:r>
    </w:p>
    <w:p>
      <w:pPr>
        <w:adjustRightInd w:val="0"/>
        <w:snapToGrid w:val="0"/>
        <w:ind w:firstLine="516"/>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pacing w:val="-11"/>
          <w:sz w:val="28"/>
          <w:szCs w:val="28"/>
          <w:highlight w:val="none"/>
        </w:rPr>
        <w:t>根据《</w:t>
      </w:r>
      <w:r>
        <w:rPr>
          <w:rFonts w:hint="eastAsia" w:cs="Times New Roman"/>
          <w:color w:val="auto"/>
          <w:spacing w:val="-11"/>
          <w:sz w:val="28"/>
          <w:szCs w:val="28"/>
          <w:highlight w:val="none"/>
          <w:lang w:eastAsia="zh-CN"/>
        </w:rPr>
        <w:t>咸宁市国民经济和社会发展第十四个五年规划和2035年远景目标纲要</w:t>
      </w:r>
      <w:r>
        <w:rPr>
          <w:rFonts w:hint="default" w:ascii="Times New Roman" w:hAnsi="Times New Roman" w:eastAsia="宋体" w:cs="Times New Roman"/>
          <w:color w:val="auto"/>
          <w:spacing w:val="-11"/>
          <w:sz w:val="28"/>
          <w:szCs w:val="28"/>
          <w:highlight w:val="none"/>
        </w:rPr>
        <w:t>》，</w:t>
      </w:r>
      <w:r>
        <w:rPr>
          <w:rFonts w:hint="eastAsia" w:cs="Times New Roman"/>
          <w:color w:val="auto"/>
          <w:spacing w:val="-11"/>
          <w:sz w:val="28"/>
          <w:szCs w:val="28"/>
          <w:highlight w:val="none"/>
          <w:lang w:eastAsia="zh-CN"/>
        </w:rPr>
        <w:t>“</w:t>
      </w:r>
      <w:r>
        <w:rPr>
          <w:rFonts w:hint="default" w:ascii="Times New Roman" w:hAnsi="Times New Roman" w:eastAsia="宋体" w:cs="Times New Roman"/>
          <w:color w:val="auto"/>
          <w:spacing w:val="-11"/>
          <w:sz w:val="28"/>
          <w:szCs w:val="28"/>
          <w:highlight w:val="none"/>
          <w:lang w:val="en-US" w:eastAsia="zh-CN"/>
        </w:rPr>
        <w:t>十四五</w:t>
      </w:r>
      <w:r>
        <w:rPr>
          <w:rFonts w:hint="eastAsia" w:cs="Times New Roman"/>
          <w:color w:val="auto"/>
          <w:spacing w:val="-11"/>
          <w:sz w:val="28"/>
          <w:szCs w:val="28"/>
          <w:highlight w:val="none"/>
          <w:lang w:eastAsia="zh-CN"/>
        </w:rPr>
        <w:t>”</w:t>
      </w:r>
      <w:r>
        <w:rPr>
          <w:rFonts w:hint="default" w:ascii="Times New Roman" w:hAnsi="Times New Roman" w:eastAsia="宋体" w:cs="Times New Roman"/>
          <w:color w:val="auto"/>
          <w:sz w:val="28"/>
          <w:szCs w:val="28"/>
          <w:highlight w:val="none"/>
        </w:rPr>
        <w:t>期间生产总值目标为每年预计增长</w:t>
      </w:r>
      <w:r>
        <w:rPr>
          <w:rFonts w:hint="eastAsia" w:cs="Times New Roman"/>
          <w:color w:val="auto"/>
          <w:sz w:val="28"/>
          <w:szCs w:val="28"/>
          <w:highlight w:val="none"/>
          <w:lang w:val="en-US" w:eastAsia="zh-CN"/>
        </w:rPr>
        <w:t>7</w:t>
      </w:r>
      <w:r>
        <w:rPr>
          <w:rFonts w:hint="default"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可比价</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预计到202</w:t>
      </w:r>
      <w:r>
        <w:rPr>
          <w:rFonts w:hint="eastAsia" w:cs="Times New Roman"/>
          <w:color w:val="auto"/>
          <w:sz w:val="28"/>
          <w:szCs w:val="28"/>
          <w:highlight w:val="none"/>
          <w:lang w:val="en-US" w:eastAsia="zh-CN"/>
        </w:rPr>
        <w:t>7</w:t>
      </w:r>
      <w:r>
        <w:rPr>
          <w:rFonts w:hint="default" w:ascii="Times New Roman" w:hAnsi="Times New Roman" w:eastAsia="宋体" w:cs="Times New Roman"/>
          <w:color w:val="auto"/>
          <w:sz w:val="28"/>
          <w:szCs w:val="28"/>
          <w:highlight w:val="none"/>
        </w:rPr>
        <w:t>年开发区地区生产总值达到</w:t>
      </w:r>
      <w:r>
        <w:rPr>
          <w:rFonts w:hint="eastAsia" w:cs="Times New Roman"/>
          <w:i w:val="0"/>
          <w:color w:val="auto"/>
          <w:kern w:val="28"/>
          <w:sz w:val="28"/>
          <w:szCs w:val="28"/>
          <w:highlight w:val="none"/>
          <w:u w:val="none"/>
          <w:lang w:val="en-US" w:eastAsia="zh-CN" w:bidi="ar"/>
        </w:rPr>
        <w:t>620</w:t>
      </w:r>
      <w:r>
        <w:rPr>
          <w:rFonts w:hint="default" w:ascii="Times New Roman" w:hAnsi="Times New Roman" w:eastAsia="宋体" w:cs="Times New Roman"/>
          <w:color w:val="auto"/>
          <w:sz w:val="28"/>
          <w:szCs w:val="28"/>
          <w:highlight w:val="none"/>
        </w:rPr>
        <w:t>亿元</w:t>
      </w:r>
      <w:r>
        <w:rPr>
          <w:rFonts w:hint="default" w:ascii="Times New Roman" w:hAnsi="Times New Roman" w:eastAsia="宋体" w:cs="Times New Roman"/>
          <w:color w:val="auto"/>
          <w:sz w:val="28"/>
          <w:szCs w:val="28"/>
          <w:highlight w:val="none"/>
          <w:lang w:eastAsia="zh-CN"/>
        </w:rPr>
        <w:t>。</w:t>
      </w:r>
    </w:p>
    <w:p>
      <w:pPr>
        <w:ind w:firstLine="560"/>
        <w:rPr>
          <w:rFonts w:hint="eastAsia" w:cs="Times New Roman"/>
          <w:color w:val="auto"/>
          <w:sz w:val="28"/>
          <w:szCs w:val="28"/>
          <w:highlight w:val="none"/>
          <w:lang w:val="en-US" w:eastAsia="zh-CN"/>
        </w:rPr>
      </w:pPr>
      <w:r>
        <w:rPr>
          <w:rFonts w:hint="default" w:ascii="Times New Roman" w:hAnsi="Times New Roman" w:eastAsia="宋体" w:cs="Times New Roman"/>
          <w:color w:val="auto"/>
          <w:spacing w:val="-11"/>
          <w:sz w:val="28"/>
          <w:szCs w:val="28"/>
          <w:highlight w:val="none"/>
          <w:lang w:val="en-US" w:eastAsia="zh-CN"/>
        </w:rPr>
        <w:t>开发区</w:t>
      </w:r>
      <w:r>
        <w:rPr>
          <w:rFonts w:hint="eastAsia" w:cs="Times New Roman"/>
          <w:color w:val="auto"/>
          <w:spacing w:val="-11"/>
          <w:sz w:val="28"/>
          <w:szCs w:val="28"/>
          <w:highlight w:val="none"/>
          <w:lang w:eastAsia="zh-CN"/>
        </w:rPr>
        <w:t>“</w:t>
      </w:r>
      <w:r>
        <w:rPr>
          <w:rFonts w:hint="default" w:ascii="Times New Roman" w:hAnsi="Times New Roman" w:eastAsia="宋体" w:cs="Times New Roman"/>
          <w:color w:val="auto"/>
          <w:spacing w:val="-11"/>
          <w:sz w:val="28"/>
          <w:szCs w:val="28"/>
          <w:highlight w:val="none"/>
          <w:lang w:val="en-US" w:eastAsia="zh-CN"/>
        </w:rPr>
        <w:t>十四五</w:t>
      </w:r>
      <w:r>
        <w:rPr>
          <w:rFonts w:hint="eastAsia" w:cs="Times New Roman"/>
          <w:color w:val="auto"/>
          <w:spacing w:val="-11"/>
          <w:sz w:val="28"/>
          <w:szCs w:val="28"/>
          <w:highlight w:val="none"/>
          <w:lang w:eastAsia="zh-CN"/>
        </w:rPr>
        <w:t>”</w:t>
      </w:r>
      <w:r>
        <w:rPr>
          <w:rFonts w:hint="default" w:ascii="Times New Roman" w:hAnsi="Times New Roman" w:eastAsia="宋体" w:cs="Times New Roman"/>
          <w:color w:val="auto"/>
          <w:sz w:val="28"/>
          <w:szCs w:val="28"/>
          <w:highlight w:val="none"/>
        </w:rPr>
        <w:t>期间能耗强度目标按总体下降</w:t>
      </w:r>
      <w:r>
        <w:rPr>
          <w:rFonts w:hint="eastAsia" w:cs="Times New Roman"/>
          <w:color w:val="auto"/>
          <w:sz w:val="28"/>
          <w:szCs w:val="28"/>
          <w:highlight w:val="none"/>
          <w:lang w:val="en-US" w:eastAsia="zh-CN"/>
        </w:rPr>
        <w:t>14</w:t>
      </w:r>
      <w:r>
        <w:rPr>
          <w:rFonts w:hint="default" w:ascii="Times New Roman" w:hAnsi="Times New Roman" w:eastAsia="宋体" w:cs="Times New Roman"/>
          <w:color w:val="auto"/>
          <w:sz w:val="28"/>
          <w:szCs w:val="28"/>
          <w:highlight w:val="none"/>
          <w:lang w:val="en-US" w:eastAsia="zh-CN"/>
        </w:rPr>
        <w:t>%估算</w:t>
      </w:r>
      <w:r>
        <w:rPr>
          <w:rFonts w:hint="default" w:ascii="Times New Roman" w:hAnsi="Times New Roman" w:eastAsia="宋体" w:cs="Times New Roman"/>
          <w:color w:val="auto"/>
          <w:sz w:val="28"/>
          <w:szCs w:val="28"/>
          <w:highlight w:val="none"/>
        </w:rPr>
        <w:t>，得出202</w:t>
      </w:r>
      <w:r>
        <w:rPr>
          <w:rFonts w:hint="eastAsia" w:cs="Times New Roman"/>
          <w:color w:val="auto"/>
          <w:sz w:val="28"/>
          <w:szCs w:val="28"/>
          <w:highlight w:val="none"/>
          <w:lang w:val="en-US" w:eastAsia="zh-CN"/>
        </w:rPr>
        <w:t>7</w:t>
      </w:r>
      <w:r>
        <w:rPr>
          <w:rFonts w:hint="default" w:ascii="Times New Roman" w:hAnsi="Times New Roman" w:eastAsia="宋体" w:cs="Times New Roman"/>
          <w:color w:val="auto"/>
          <w:sz w:val="28"/>
          <w:szCs w:val="28"/>
          <w:highlight w:val="none"/>
        </w:rPr>
        <w:t>年的综合能源消费总量</w:t>
      </w:r>
      <w:r>
        <w:rPr>
          <w:rFonts w:hint="default" w:ascii="Times New Roman" w:hAnsi="Times New Roman" w:eastAsia="宋体" w:cs="Times New Roman"/>
          <w:color w:val="auto"/>
          <w:sz w:val="28"/>
          <w:szCs w:val="28"/>
          <w:highlight w:val="none"/>
          <w:lang w:val="en-US" w:eastAsia="zh-CN"/>
        </w:rPr>
        <w:t>约</w:t>
      </w:r>
      <w:r>
        <w:rPr>
          <w:rFonts w:hint="default" w:ascii="Times New Roman" w:hAnsi="Times New Roman" w:eastAsia="宋体" w:cs="Times New Roman"/>
          <w:color w:val="auto"/>
          <w:sz w:val="28"/>
          <w:szCs w:val="28"/>
          <w:highlight w:val="none"/>
        </w:rPr>
        <w:t>为</w:t>
      </w:r>
      <w:r>
        <w:rPr>
          <w:rFonts w:hint="eastAsia" w:cs="Times New Roman"/>
          <w:color w:val="auto"/>
          <w:sz w:val="28"/>
          <w:szCs w:val="28"/>
          <w:highlight w:val="none"/>
          <w:lang w:val="en-US" w:eastAsia="zh-CN"/>
        </w:rPr>
        <w:t>45</w:t>
      </w:r>
      <w:r>
        <w:rPr>
          <w:rFonts w:hint="default" w:ascii="Times New Roman" w:hAnsi="Times New Roman" w:eastAsia="宋体" w:cs="Times New Roman"/>
          <w:color w:val="auto"/>
          <w:sz w:val="28"/>
          <w:szCs w:val="28"/>
          <w:highlight w:val="none"/>
        </w:rPr>
        <w:t>万</w:t>
      </w:r>
      <w:r>
        <w:rPr>
          <w:rFonts w:hint="default" w:ascii="Times New Roman" w:hAnsi="Times New Roman" w:eastAsia="宋体" w:cs="Times New Roman"/>
          <w:color w:val="auto"/>
          <w:sz w:val="28"/>
          <w:szCs w:val="28"/>
          <w:highlight w:val="none"/>
          <w:lang w:val="en-US" w:eastAsia="zh-CN"/>
        </w:rPr>
        <w:t>tce</w:t>
      </w:r>
      <w:r>
        <w:rPr>
          <w:rFonts w:hint="eastAsia" w:cs="Times New Roman"/>
          <w:color w:val="auto"/>
          <w:sz w:val="28"/>
          <w:szCs w:val="28"/>
          <w:highlight w:val="none"/>
          <w:lang w:val="en-US" w:eastAsia="zh-CN"/>
        </w:rPr>
        <w:t>。</w:t>
      </w:r>
    </w:p>
    <w:p>
      <w:pPr>
        <w:ind w:firstLine="560"/>
        <w:rPr>
          <w:rFonts w:hint="default" w:ascii="Times New Roman" w:hAnsi="Times New Roman" w:eastAsia="宋体" w:cs="Times New Roman"/>
          <w:color w:val="auto"/>
          <w:highlight w:val="none"/>
        </w:rPr>
      </w:pPr>
      <w:r>
        <w:rPr>
          <w:rFonts w:hint="eastAsia"/>
          <w:color w:val="auto"/>
          <w:highlight w:val="none"/>
          <w:lang w:val="en-US" w:eastAsia="zh-CN"/>
        </w:rPr>
        <w:t>由于咸宁市未完成“十四五”节能中期目标，开发区实际“双控”目标需</w:t>
      </w:r>
      <w:r>
        <w:rPr>
          <w:rFonts w:hint="eastAsia"/>
          <w:color w:val="auto"/>
          <w:highlight w:val="none"/>
        </w:rPr>
        <w:t>结合</w:t>
      </w:r>
      <w:r>
        <w:rPr>
          <w:rFonts w:hint="eastAsia"/>
          <w:color w:val="auto"/>
          <w:highlight w:val="none"/>
          <w:lang w:val="en-US" w:eastAsia="zh-CN"/>
        </w:rPr>
        <w:t>咸宁市</w:t>
      </w:r>
      <w:r>
        <w:rPr>
          <w:rFonts w:hint="eastAsia"/>
          <w:color w:val="auto"/>
          <w:highlight w:val="none"/>
        </w:rPr>
        <w:t>能耗强度目标完成情况统筹处理。因此</w:t>
      </w:r>
      <w:r>
        <w:rPr>
          <w:color w:val="auto"/>
          <w:highlight w:val="none"/>
        </w:rPr>
        <w:t>，</w:t>
      </w:r>
      <w:r>
        <w:rPr>
          <w:rFonts w:hint="eastAsia"/>
          <w:color w:val="auto"/>
          <w:highlight w:val="none"/>
        </w:rPr>
        <w:t>本</w:t>
      </w:r>
      <w:r>
        <w:rPr>
          <w:color w:val="auto"/>
          <w:highlight w:val="none"/>
        </w:rPr>
        <w:t>报告</w:t>
      </w:r>
      <w:r>
        <w:rPr>
          <w:rFonts w:hint="eastAsia"/>
          <w:color w:val="auto"/>
          <w:highlight w:val="none"/>
        </w:rPr>
        <w:t>“</w:t>
      </w:r>
      <w:r>
        <w:rPr>
          <w:color w:val="auto"/>
          <w:highlight w:val="none"/>
        </w:rPr>
        <w:t>双控</w:t>
      </w:r>
      <w:r>
        <w:rPr>
          <w:rFonts w:hint="eastAsia"/>
          <w:color w:val="auto"/>
          <w:highlight w:val="none"/>
        </w:rPr>
        <w:t>”指标可</w:t>
      </w:r>
      <w:r>
        <w:rPr>
          <w:color w:val="auto"/>
          <w:highlight w:val="none"/>
        </w:rPr>
        <w:t>根据</w:t>
      </w:r>
      <w:r>
        <w:rPr>
          <w:rFonts w:hint="eastAsia"/>
          <w:color w:val="auto"/>
          <w:highlight w:val="none"/>
        </w:rPr>
        <w:t>后期省</w:t>
      </w:r>
      <w:r>
        <w:rPr>
          <w:color w:val="auto"/>
          <w:highlight w:val="none"/>
        </w:rPr>
        <w:t>、市</w:t>
      </w:r>
      <w:r>
        <w:rPr>
          <w:rFonts w:hint="eastAsia"/>
          <w:color w:val="auto"/>
          <w:highlight w:val="none"/>
        </w:rPr>
        <w:t>“十</w:t>
      </w:r>
      <w:r>
        <w:rPr>
          <w:rFonts w:hint="eastAsia"/>
          <w:color w:val="auto"/>
          <w:highlight w:val="none"/>
          <w:lang w:val="en-US" w:eastAsia="zh-CN"/>
        </w:rPr>
        <w:t>四</w:t>
      </w:r>
      <w:r>
        <w:rPr>
          <w:rFonts w:hint="eastAsia"/>
          <w:color w:val="auto"/>
          <w:highlight w:val="none"/>
        </w:rPr>
        <w:t>五”</w:t>
      </w:r>
      <w:r>
        <w:rPr>
          <w:rFonts w:hint="eastAsia"/>
          <w:color w:val="auto"/>
          <w:highlight w:val="none"/>
          <w:lang w:val="en-US" w:eastAsia="zh-CN"/>
        </w:rPr>
        <w:t>中后</w:t>
      </w:r>
      <w:r>
        <w:rPr>
          <w:rFonts w:hint="eastAsia"/>
          <w:color w:val="auto"/>
          <w:highlight w:val="none"/>
        </w:rPr>
        <w:t>期间“双控”目标完成情况及</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十</w:t>
      </w:r>
      <w:r>
        <w:rPr>
          <w:rFonts w:hint="eastAsia" w:asciiTheme="minorEastAsia" w:hAnsiTheme="minorEastAsia" w:eastAsiaTheme="minorEastAsia"/>
          <w:color w:val="auto"/>
          <w:highlight w:val="none"/>
          <w:lang w:val="en-US" w:eastAsia="zh-CN"/>
        </w:rPr>
        <w:t>五</w:t>
      </w:r>
      <w:r>
        <w:rPr>
          <w:rFonts w:hint="eastAsia" w:asciiTheme="minorEastAsia" w:hAnsiTheme="minorEastAsia" w:eastAsiaTheme="minorEastAsia"/>
          <w:color w:val="auto"/>
          <w:highlight w:val="none"/>
        </w:rPr>
        <w:t>五</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节能</w:t>
      </w:r>
      <w:r>
        <w:rPr>
          <w:rFonts w:asciiTheme="minorEastAsia" w:hAnsiTheme="minorEastAsia" w:eastAsiaTheme="minorEastAsia"/>
          <w:color w:val="auto"/>
          <w:highlight w:val="none"/>
        </w:rPr>
        <w:t>减排</w:t>
      </w:r>
      <w:r>
        <w:rPr>
          <w:rFonts w:hint="eastAsia" w:asciiTheme="minorEastAsia" w:hAnsiTheme="minorEastAsia" w:eastAsiaTheme="minorEastAsia"/>
          <w:color w:val="auto"/>
          <w:highlight w:val="none"/>
        </w:rPr>
        <w:t>综合工作</w:t>
      </w:r>
      <w:r>
        <w:rPr>
          <w:rFonts w:asciiTheme="minorEastAsia" w:hAnsiTheme="minorEastAsia" w:eastAsiaTheme="minorEastAsia"/>
          <w:color w:val="auto"/>
          <w:highlight w:val="none"/>
        </w:rPr>
        <w:t>方案</w:t>
      </w:r>
      <w:r>
        <w:rPr>
          <w:rFonts w:hint="eastAsia" w:asciiTheme="minorEastAsia" w:hAnsiTheme="minorEastAsia" w:eastAsiaTheme="minorEastAsia"/>
          <w:color w:val="auto"/>
          <w:highlight w:val="none"/>
        </w:rPr>
        <w:t>进行</w:t>
      </w:r>
      <w:r>
        <w:rPr>
          <w:rFonts w:asciiTheme="minorEastAsia" w:hAnsiTheme="minorEastAsia" w:eastAsiaTheme="minorEastAsia"/>
          <w:color w:val="auto"/>
          <w:highlight w:val="none"/>
        </w:rPr>
        <w:t>调整。</w:t>
      </w:r>
    </w:p>
    <w:p>
      <w:pPr>
        <w:ind w:firstLine="560"/>
        <w:rPr>
          <w:color w:val="auto"/>
          <w:highlight w:val="none"/>
        </w:rPr>
      </w:pPr>
    </w:p>
    <w:p>
      <w:pPr>
        <w:spacing w:line="240" w:lineRule="auto"/>
        <w:ind w:firstLine="0" w:firstLineChars="0"/>
        <w:rPr>
          <w:color w:val="auto"/>
          <w:sz w:val="21"/>
          <w:highlight w:val="none"/>
        </w:rPr>
        <w:sectPr>
          <w:pgSz w:w="11906" w:h="16838"/>
          <w:pgMar w:top="1440" w:right="1800" w:bottom="1440" w:left="1800" w:header="850" w:footer="992" w:gutter="0"/>
          <w:cols w:space="425" w:num="1"/>
          <w:docGrid w:type="lines" w:linePitch="381" w:charSpace="0"/>
        </w:sectPr>
      </w:pPr>
    </w:p>
    <w:p>
      <w:pPr>
        <w:pStyle w:val="2"/>
        <w:numPr>
          <w:ilvl w:val="0"/>
          <w:numId w:val="2"/>
        </w:numPr>
        <w:ind w:left="425" w:leftChars="0" w:hanging="425" w:firstLineChars="0"/>
        <w:rPr>
          <w:color w:val="auto"/>
          <w:highlight w:val="none"/>
        </w:rPr>
      </w:pPr>
      <w:bookmarkStart w:id="43" w:name="_Toc21902"/>
      <w:r>
        <w:rPr>
          <w:rFonts w:hint="eastAsia"/>
          <w:color w:val="auto"/>
          <w:highlight w:val="none"/>
        </w:rPr>
        <w:t>区域</w:t>
      </w:r>
      <w:r>
        <w:rPr>
          <w:color w:val="auto"/>
          <w:highlight w:val="none"/>
        </w:rPr>
        <w:t>能效指标</w:t>
      </w:r>
      <w:bookmarkEnd w:id="43"/>
    </w:p>
    <w:p>
      <w:pPr>
        <w:ind w:firstLine="560"/>
        <w:rPr>
          <w:color w:val="auto"/>
          <w:highlight w:val="none"/>
        </w:rPr>
      </w:pPr>
      <w:r>
        <w:rPr>
          <w:rFonts w:hint="eastAsia"/>
          <w:color w:val="auto"/>
          <w:highlight w:val="none"/>
        </w:rPr>
        <w:t>对咸宁</w:t>
      </w:r>
      <w:r>
        <w:rPr>
          <w:color w:val="auto"/>
          <w:highlight w:val="none"/>
        </w:rPr>
        <w:t>高新区</w:t>
      </w:r>
      <w:r>
        <w:rPr>
          <w:rFonts w:hint="eastAsia"/>
          <w:color w:val="auto"/>
          <w:highlight w:val="none"/>
        </w:rPr>
        <w:t>区域内</w:t>
      </w:r>
      <w:r>
        <w:rPr>
          <w:color w:val="auto"/>
          <w:highlight w:val="none"/>
        </w:rPr>
        <w:t>76</w:t>
      </w:r>
      <w:r>
        <w:rPr>
          <w:rFonts w:hint="eastAsia"/>
          <w:color w:val="auto"/>
          <w:highlight w:val="none"/>
        </w:rPr>
        <w:t>个行业、</w:t>
      </w:r>
      <w:r>
        <w:rPr>
          <w:rFonts w:hint="eastAsia"/>
          <w:color w:val="auto"/>
          <w:highlight w:val="none"/>
          <w:lang w:val="en-US" w:eastAsia="zh-CN"/>
        </w:rPr>
        <w:t>91</w:t>
      </w:r>
      <w:r>
        <w:rPr>
          <w:rFonts w:hint="eastAsia"/>
          <w:color w:val="auto"/>
          <w:highlight w:val="none"/>
        </w:rPr>
        <w:t>家规上企业开展</w:t>
      </w:r>
      <w:r>
        <w:rPr>
          <w:rFonts w:hint="eastAsia"/>
          <w:color w:val="auto"/>
          <w:highlight w:val="none"/>
          <w:lang w:val="en-US" w:eastAsia="zh-CN"/>
        </w:rPr>
        <w:t>2022年用能情况</w:t>
      </w:r>
      <w:r>
        <w:rPr>
          <w:rFonts w:hint="eastAsia"/>
          <w:color w:val="auto"/>
          <w:highlight w:val="none"/>
        </w:rPr>
        <w:t>的现场调研工作，摸清了区域内不同行业在现有企业工艺技术水平下，单位工业产值能耗、单位产品能耗等能效情况。对照国家、湖北省已颁布实施的能效标准，对区域内各行业单位产品综合能效现状进行对标，并对各行业经济能效指标进行评价。</w:t>
      </w:r>
    </w:p>
    <w:p>
      <w:pPr>
        <w:pStyle w:val="3"/>
        <w:numPr>
          <w:ilvl w:val="1"/>
          <w:numId w:val="2"/>
        </w:numPr>
        <w:ind w:left="567" w:hanging="567"/>
        <w:rPr>
          <w:color w:val="auto"/>
          <w:highlight w:val="none"/>
        </w:rPr>
      </w:pPr>
      <w:bookmarkStart w:id="44" w:name="_Toc28098"/>
      <w:r>
        <w:rPr>
          <w:rFonts w:hint="eastAsia"/>
          <w:color w:val="auto"/>
          <w:highlight w:val="none"/>
        </w:rPr>
        <w:t>区域主要行业经济能效指标评价</w:t>
      </w:r>
      <w:bookmarkEnd w:id="44"/>
    </w:p>
    <w:p>
      <w:pPr>
        <w:ind w:firstLine="560"/>
        <w:rPr>
          <w:color w:val="auto"/>
          <w:highlight w:val="none"/>
        </w:rPr>
      </w:pPr>
      <w:r>
        <w:rPr>
          <w:rFonts w:hint="eastAsia"/>
          <w:color w:val="auto"/>
          <w:highlight w:val="none"/>
        </w:rPr>
        <w:t>通过对区域规上用能企业的数据收集和现场调研，统计企业</w:t>
      </w:r>
      <w:r>
        <w:rPr>
          <w:color w:val="auto"/>
          <w:highlight w:val="none"/>
        </w:rPr>
        <w:t>、行业</w:t>
      </w:r>
      <w:r>
        <w:rPr>
          <w:rFonts w:hint="eastAsia"/>
          <w:color w:val="auto"/>
          <w:highlight w:val="none"/>
        </w:rPr>
        <w:t>耗能水平，并将咸宁高新区主要用能行业20</w:t>
      </w:r>
      <w:r>
        <w:rPr>
          <w:rFonts w:hint="eastAsia"/>
          <w:color w:val="auto"/>
          <w:highlight w:val="none"/>
          <w:lang w:val="en-US" w:eastAsia="zh-CN"/>
        </w:rPr>
        <w:t>22</w:t>
      </w:r>
      <w:r>
        <w:rPr>
          <w:rFonts w:hint="eastAsia"/>
          <w:color w:val="auto"/>
          <w:highlight w:val="none"/>
        </w:rPr>
        <w:t>年的经济能效指标与先进地区</w:t>
      </w:r>
      <w:r>
        <w:rPr>
          <w:color w:val="auto"/>
          <w:highlight w:val="none"/>
        </w:rPr>
        <w:t>上海市出台的</w:t>
      </w:r>
      <w:r>
        <w:rPr>
          <w:rFonts w:hint="eastAsia"/>
          <w:color w:val="auto"/>
          <w:highlight w:val="none"/>
        </w:rPr>
        <w:t>《上海产业能效指南（20</w:t>
      </w:r>
      <w:r>
        <w:rPr>
          <w:rFonts w:hint="eastAsia"/>
          <w:color w:val="auto"/>
          <w:highlight w:val="none"/>
          <w:lang w:val="en-US" w:eastAsia="zh-CN"/>
        </w:rPr>
        <w:t>21</w:t>
      </w:r>
      <w:r>
        <w:rPr>
          <w:rFonts w:hint="eastAsia"/>
          <w:color w:val="auto"/>
          <w:highlight w:val="none"/>
        </w:rPr>
        <w:t>年版）》中的产业能效水平进行对比，如下</w:t>
      </w:r>
      <w:r>
        <w:rPr>
          <w:color w:val="auto"/>
          <w:highlight w:val="none"/>
        </w:rPr>
        <w:t>所示：</w:t>
      </w:r>
    </w:p>
    <w:p>
      <w:pPr>
        <w:ind w:firstLine="560"/>
        <w:rPr>
          <w:color w:val="auto"/>
          <w:highlight w:val="none"/>
        </w:rPr>
      </w:pPr>
    </w:p>
    <w:p>
      <w:pPr>
        <w:ind w:firstLine="0" w:firstLineChars="0"/>
        <w:rPr>
          <w:color w:val="auto"/>
          <w:highlight w:val="none"/>
        </w:rPr>
        <w:sectPr>
          <w:pgSz w:w="11906" w:h="16838"/>
          <w:pgMar w:top="1440" w:right="1800" w:bottom="1440" w:left="1800" w:header="850" w:footer="992" w:gutter="0"/>
          <w:cols w:space="425" w:num="1"/>
          <w:docGrid w:type="lines" w:linePitch="381" w:charSpace="0"/>
        </w:sectPr>
      </w:pP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咸宁</w:t>
      </w:r>
      <w:r>
        <w:rPr>
          <w:color w:val="auto"/>
          <w:highlight w:val="none"/>
        </w:rPr>
        <w:t>高新区</w:t>
      </w:r>
      <w:r>
        <w:rPr>
          <w:rFonts w:hint="eastAsia"/>
          <w:color w:val="auto"/>
          <w:highlight w:val="none"/>
        </w:rPr>
        <w:t>规上</w:t>
      </w:r>
      <w:r>
        <w:rPr>
          <w:color w:val="auto"/>
          <w:highlight w:val="none"/>
        </w:rPr>
        <w:t>工业企业</w:t>
      </w:r>
      <w:r>
        <w:rPr>
          <w:rFonts w:hint="eastAsia"/>
          <w:color w:val="auto"/>
          <w:highlight w:val="none"/>
        </w:rPr>
        <w:t>经济能耗指标对标情况（当量值）</w:t>
      </w:r>
    </w:p>
    <w:tbl>
      <w:tblPr>
        <w:tblStyle w:val="28"/>
        <w:tblW w:w="52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8"/>
        <w:gridCol w:w="852"/>
        <w:gridCol w:w="3827"/>
        <w:gridCol w:w="992"/>
        <w:gridCol w:w="3543"/>
        <w:gridCol w:w="1185"/>
        <w:gridCol w:w="1188"/>
        <w:gridCol w:w="1311"/>
        <w:gridCol w:w="1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序号</w:t>
            </w:r>
          </w:p>
        </w:tc>
        <w:tc>
          <w:tcPr>
            <w:tcW w:w="291"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行业</w:t>
            </w:r>
          </w:p>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大类</w:t>
            </w:r>
          </w:p>
        </w:tc>
        <w:tc>
          <w:tcPr>
            <w:tcW w:w="1308"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行业名称</w:t>
            </w:r>
          </w:p>
        </w:tc>
        <w:tc>
          <w:tcPr>
            <w:tcW w:w="339"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小类</w:t>
            </w:r>
          </w:p>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代码</w:t>
            </w:r>
          </w:p>
        </w:tc>
        <w:tc>
          <w:tcPr>
            <w:tcW w:w="1211"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小类行业名称</w:t>
            </w:r>
          </w:p>
        </w:tc>
        <w:tc>
          <w:tcPr>
            <w:tcW w:w="405"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综合能耗</w:t>
            </w:r>
            <w:r>
              <w:rPr>
                <w:rFonts w:hint="eastAsia"/>
                <w:b/>
                <w:color w:val="auto"/>
                <w:kern w:val="0"/>
                <w:sz w:val="24"/>
                <w:szCs w:val="24"/>
                <w:highlight w:val="none"/>
              </w:rPr>
              <w:t>（tce）</w:t>
            </w:r>
          </w:p>
        </w:tc>
        <w:tc>
          <w:tcPr>
            <w:tcW w:w="406"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产值</w:t>
            </w:r>
          </w:p>
          <w:p>
            <w:pPr>
              <w:widowControl/>
              <w:spacing w:line="240" w:lineRule="auto"/>
              <w:ind w:firstLine="0" w:firstLineChars="0"/>
              <w:jc w:val="center"/>
              <w:rPr>
                <w:b/>
                <w:color w:val="auto"/>
                <w:kern w:val="0"/>
                <w:sz w:val="24"/>
                <w:szCs w:val="24"/>
                <w:highlight w:val="none"/>
              </w:rPr>
            </w:pPr>
            <w:r>
              <w:rPr>
                <w:rFonts w:hint="eastAsia"/>
                <w:b/>
                <w:color w:val="auto"/>
                <w:kern w:val="0"/>
                <w:sz w:val="24"/>
                <w:szCs w:val="24"/>
                <w:highlight w:val="none"/>
              </w:rPr>
              <w:t>（万元）</w:t>
            </w:r>
          </w:p>
        </w:tc>
        <w:tc>
          <w:tcPr>
            <w:tcW w:w="448"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产值能耗</w:t>
            </w:r>
          </w:p>
          <w:p>
            <w:pPr>
              <w:widowControl/>
              <w:spacing w:line="240" w:lineRule="auto"/>
              <w:ind w:firstLine="0" w:firstLineChars="0"/>
              <w:jc w:val="center"/>
              <w:rPr>
                <w:b/>
                <w:color w:val="auto"/>
                <w:kern w:val="0"/>
                <w:sz w:val="24"/>
                <w:szCs w:val="24"/>
                <w:highlight w:val="none"/>
              </w:rPr>
            </w:pPr>
            <w:r>
              <w:rPr>
                <w:rFonts w:hint="eastAsia"/>
                <w:b/>
                <w:color w:val="auto"/>
                <w:kern w:val="0"/>
                <w:sz w:val="24"/>
                <w:szCs w:val="24"/>
                <w:highlight w:val="none"/>
              </w:rPr>
              <w:t>（tce</w:t>
            </w:r>
            <w:r>
              <w:rPr>
                <w:b/>
                <w:color w:val="auto"/>
                <w:kern w:val="0"/>
                <w:sz w:val="24"/>
                <w:szCs w:val="24"/>
                <w:highlight w:val="none"/>
              </w:rPr>
              <w:t>/</w:t>
            </w:r>
            <w:r>
              <w:rPr>
                <w:rFonts w:hint="eastAsia"/>
                <w:b/>
                <w:color w:val="auto"/>
                <w:kern w:val="0"/>
                <w:sz w:val="24"/>
                <w:szCs w:val="24"/>
                <w:highlight w:val="none"/>
              </w:rPr>
              <w:t>万元）</w:t>
            </w:r>
          </w:p>
        </w:tc>
        <w:tc>
          <w:tcPr>
            <w:tcW w:w="387"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rFonts w:hint="eastAsia"/>
                <w:b/>
                <w:color w:val="auto"/>
                <w:kern w:val="0"/>
                <w:sz w:val="24"/>
                <w:szCs w:val="24"/>
                <w:highlight w:val="none"/>
              </w:rPr>
              <w:t>上海产业能效指南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B10</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非金属矿采选业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7.99</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8318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0.0010</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B1011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石灰石、石膏开采</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7.99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8318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0.0010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C13</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农副食品加工业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30.97</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6865</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0.0045</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C1331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食用植物油加工</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30.97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6865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0.0045</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食品制造业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2565.73</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26715.1</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0.0960</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糕点、面包制造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451.52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2840.9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0.1589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C1491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营养食品制造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1016.38</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12746.2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0.0797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C1495</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食品及饲料添加剂制造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20.09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7727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0.0026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C1499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其他未列明食品制造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1077.74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3401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0.3169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酒、饮料和精制茶制造业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16079.91</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467597.2</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0.0344</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C1512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白酒制造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1112.56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36120.45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0.0308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C1521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碳酸饮料制造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4463.56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8270.4</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0.5397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C1522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瓶（罐）装饮用水制造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3222.6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23235.8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0.1387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C1529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茶饮料及其他饮料制造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7281.19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399970.5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0.0182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纺织业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9492.42</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70795.28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0.1341</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棉纺纱加工</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1475.82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14158.2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0.1042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C1713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棉印染精加工</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1235.19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6853.5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0.1802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C1731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麻纤维纺前加工和纺纱</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3497.73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25708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0.1361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C1772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毛巾类制品制造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2975.69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15551.92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0.1913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C1789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其他产业用纺织制成品制造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307.99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8523.657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0.0361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C18</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纺织服装、服饰业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332.04</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20975.8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0.0158</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C1819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其他机织服装制造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332.04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20975.8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0.0158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w:t>
            </w:r>
          </w:p>
        </w:tc>
        <w:tc>
          <w:tcPr>
            <w:tcW w:w="1308" w:type="pct"/>
            <w:shd w:val="clear" w:color="auto" w:fill="auto"/>
            <w:noWrap/>
            <w:vAlign w:val="center"/>
          </w:tcPr>
          <w:p>
            <w:pPr>
              <w:widowControl/>
              <w:spacing w:line="240" w:lineRule="auto"/>
              <w:ind w:firstLine="0" w:firstLineChars="0"/>
              <w:jc w:val="center"/>
              <w:rPr>
                <w:color w:val="auto"/>
                <w:kern w:val="0"/>
                <w:sz w:val="20"/>
                <w:szCs w:val="24"/>
                <w:highlight w:val="none"/>
              </w:rPr>
            </w:pPr>
            <w:r>
              <w:rPr>
                <w:color w:val="auto"/>
                <w:kern w:val="0"/>
                <w:sz w:val="20"/>
                <w:szCs w:val="24"/>
                <w:highlight w:val="none"/>
              </w:rPr>
              <w:t>木材加工和木、竹、藤、棕、草制品业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351.27</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23213.23</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0.0151</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C2032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木门窗制造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28.86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8023.9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C2033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木楼梯制造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291.27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9074.23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0.0321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C2034</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木地板制造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22.17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3822.7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0.0058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C2041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竹制品制造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8.97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2292.4</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C21</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家具制造业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3494.72</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70925.9</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0.0493</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C2110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木质家具制造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189.3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48299.2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C2130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金属家具制造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3305.42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22626.7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0.1461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C22</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造纸和纸制品业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4204.64</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7712.8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0.5452</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C2221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木竹浆制造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4204.64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7712.8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0.5452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0.365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C23</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印刷和记录媒介复制业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3309.11</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31429.73</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0.1053</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C2311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书、报刊印刷</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82.34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6870</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0.0120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C2319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其他文教办公用品制造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3226.77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24559.73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0.1314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化学原料和化学制品制造业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2028.73</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83208.47</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0.0244</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C2614</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有机化学原料制造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59.9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3527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0.0170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C2632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生物化学农药及微生物农药制造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7.87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3551.5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0.0022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C2641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涂料制造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485.63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49377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C2651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初级形态塑料及合成树脂制造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266.23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8965.663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0.0297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0.374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C2659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其他合成材料制造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1209.1</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17787.31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0.0680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0.374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医药制造业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4284.4</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135829.9</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0.0315</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C2730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中药饮片加工</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C2740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中成药生产</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1680.84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27888.7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0.0603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C2750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兽用药品制造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18.53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637.69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0.0291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C2761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生物药品制造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3.96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6802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0.0006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C2770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卫生材料及医药用品制造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2581.07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100501.5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0.0257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13</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C29</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橡胶和塑料制品业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23.26</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7315</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0.0032</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C2927</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日用塑料制品制造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23.26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7315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非金属矿物制品业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158069.54</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205812.9</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0.7680</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C3021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水泥制品制造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1254.00</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23960.61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0.0523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C3031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粘土砖瓦及建筑砌块制造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124.02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8737.9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0.0142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C3034</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隔热和隔音材料制造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14.75</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5475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0.0027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C3039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其他建筑材料制造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103.24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22983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0.0045</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C3041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平板玻璃制造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127903.76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74334.5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1.7207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C3049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其他玻璃制造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5551.79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48703.63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0.1140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C3052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光学玻璃制造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23117.98</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21618.3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1.0694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15</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金属制品业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6565.8</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225487.2</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0.0291</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金属结构制造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625.86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25915.26</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0.0242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C3333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金属包装容器及材料制造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5774.96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189516.6</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0.0305</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C3359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其他建筑、安全用金属制品制造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11.31</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3058.2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C3381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金属制厨房用器具制造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5.53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3138.5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0.0018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C3393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锻件及粉末冶金制品制造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148.14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3858.7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0.0384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通用设备制造业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128.82</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13026.3</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0.0099</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C3423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铸造机械制造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C3429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其他金属加工机械制造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53.63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4421.1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0.0121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C3444</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液压动力机械及元件制造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44.24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5125.2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0.0086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C3499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其他未列明通用设备制造业</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30.95</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3480</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0.0089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专用设备制造业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2227.15</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81317.64</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0.0274</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C3513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深海石油钻探设备制造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1371.56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19756.9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0.0694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C3532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农副食品加工专用设备制造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9.02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6887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0.0013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C3589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其他医疗设备及器械制造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505.75</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19861.04</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0.0255</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C3591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环境保护专用设备制造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75.46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25447.2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C3599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其他专用设备制造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265.36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9365.5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0.0283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C36</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汽车制造业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2236.61</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62899.28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0.0356</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C3660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汽车车身、挂车制造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262.35</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8034.8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0.0327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C3670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汽车零部件及配件制造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1974.26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54864.48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0.0360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19</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C37</w:t>
            </w:r>
          </w:p>
        </w:tc>
        <w:tc>
          <w:tcPr>
            <w:tcW w:w="1308" w:type="pct"/>
            <w:shd w:val="clear" w:color="auto" w:fill="auto"/>
            <w:noWrap/>
            <w:vAlign w:val="center"/>
          </w:tcPr>
          <w:p>
            <w:pPr>
              <w:widowControl/>
              <w:spacing w:line="240" w:lineRule="auto"/>
              <w:ind w:firstLine="0" w:firstLineChars="0"/>
              <w:jc w:val="center"/>
              <w:rPr>
                <w:color w:val="auto"/>
                <w:kern w:val="0"/>
                <w:sz w:val="20"/>
                <w:szCs w:val="24"/>
                <w:highlight w:val="none"/>
              </w:rPr>
            </w:pPr>
            <w:r>
              <w:rPr>
                <w:color w:val="auto"/>
                <w:kern w:val="0"/>
                <w:sz w:val="20"/>
                <w:szCs w:val="24"/>
                <w:highlight w:val="none"/>
              </w:rPr>
              <w:t>铁路、船舶、航空航天和其他运输设备制造业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267.46</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8851</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0.0302</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C3713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窄轨机车车辆制造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267.46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8851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0.0302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20</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电气机械和器材制造业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608.78</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70706.78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0.0086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发电机及发电机组制造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184.13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18102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0.0102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C3819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其他电机制造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167.39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12055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0.0139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C3821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变压器、整流器和电感器制造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24.73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6140.8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0.0040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C3825</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光伏设备及元器件制造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126.32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11897.7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0.0106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C3831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电线、电缆制造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21.41</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15469.18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0.0014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C3833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光缆制造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50.39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3238.3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0.0156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C3843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铅蓄电池制造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34.41</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3803.8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21</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计算机、通信和其他电子设备制造业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2315.32</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141620.7</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0.0163</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C3961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可穿戴智能设备制造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6983.421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0.0014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C3969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其他智能消费设备制造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328.14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36176.4</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C3976</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光电子器件制造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62.68</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4581.274</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0.0137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C3981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电阻电容电感元件制造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218.36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14497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0.0151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C3982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电子电路制造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827.23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22584.39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0.0366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C3990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其他电子设备制造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868.88</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56798.2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0.0153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C40</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仪器仪表制造业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32.45</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3263.869</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0.0099</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C4025</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地质勘探和地震专用仪器制造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32.45</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3263.869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D46</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水的生产和供应业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2324.04</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12108.59</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0.1919</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D4610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自来水生产和供应</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2235.38</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6336.79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0.3528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0.292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D4690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其他水的处理、利用与分配</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88.66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5771.8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0.0154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r>
    </w:tbl>
    <w:p>
      <w:pPr>
        <w:spacing w:line="240" w:lineRule="auto"/>
        <w:ind w:firstLine="0" w:firstLineChars="0"/>
        <w:jc w:val="left"/>
        <w:rPr>
          <w:color w:val="auto"/>
          <w:sz w:val="21"/>
          <w:highlight w:val="none"/>
        </w:rPr>
      </w:pPr>
      <w:r>
        <w:rPr>
          <w:rFonts w:hint="eastAsia"/>
          <w:color w:val="auto"/>
          <w:sz w:val="21"/>
          <w:highlight w:val="none"/>
        </w:rPr>
        <w:t>注</w:t>
      </w:r>
      <w:r>
        <w:rPr>
          <w:color w:val="auto"/>
          <w:sz w:val="21"/>
          <w:highlight w:val="none"/>
        </w:rPr>
        <w:t>：</w:t>
      </w:r>
      <w:r>
        <w:rPr>
          <w:rFonts w:hint="eastAsia"/>
          <w:color w:val="auto"/>
          <w:sz w:val="21"/>
          <w:highlight w:val="none"/>
        </w:rPr>
        <w:t>《上海产业能效指南（20</w:t>
      </w:r>
      <w:r>
        <w:rPr>
          <w:rFonts w:hint="eastAsia"/>
          <w:color w:val="auto"/>
          <w:sz w:val="21"/>
          <w:highlight w:val="none"/>
          <w:lang w:val="en-US" w:eastAsia="zh-CN"/>
        </w:rPr>
        <w:t>21</w:t>
      </w:r>
      <w:r>
        <w:rPr>
          <w:rFonts w:hint="eastAsia"/>
          <w:color w:val="auto"/>
          <w:sz w:val="21"/>
          <w:highlight w:val="none"/>
        </w:rPr>
        <w:t>年版）》产值</w:t>
      </w:r>
      <w:r>
        <w:rPr>
          <w:color w:val="auto"/>
          <w:sz w:val="21"/>
          <w:highlight w:val="none"/>
        </w:rPr>
        <w:t>能效</w:t>
      </w:r>
      <w:r>
        <w:rPr>
          <w:rFonts w:hint="eastAsia"/>
          <w:color w:val="auto"/>
          <w:sz w:val="21"/>
          <w:highlight w:val="none"/>
        </w:rPr>
        <w:t>数据仅</w:t>
      </w:r>
      <w:r>
        <w:rPr>
          <w:color w:val="auto"/>
          <w:sz w:val="21"/>
          <w:highlight w:val="none"/>
        </w:rPr>
        <w:t>细分到</w:t>
      </w:r>
      <w:r>
        <w:rPr>
          <w:rFonts w:hint="eastAsia"/>
          <w:color w:val="auto"/>
          <w:sz w:val="21"/>
          <w:highlight w:val="none"/>
        </w:rPr>
        <w:t>行业</w:t>
      </w:r>
      <w:r>
        <w:rPr>
          <w:color w:val="auto"/>
          <w:sz w:val="21"/>
          <w:highlight w:val="none"/>
        </w:rPr>
        <w:t>中类</w:t>
      </w:r>
    </w:p>
    <w:p>
      <w:pPr>
        <w:ind w:firstLine="0" w:firstLineChars="0"/>
        <w:rPr>
          <w:color w:val="auto"/>
          <w:highlight w:val="none"/>
        </w:rPr>
        <w:sectPr>
          <w:pgSz w:w="16838" w:h="11906" w:orient="landscape"/>
          <w:pgMar w:top="1800" w:right="1440" w:bottom="1800" w:left="1440" w:header="850" w:footer="992" w:gutter="0"/>
          <w:cols w:space="425" w:num="1"/>
          <w:docGrid w:type="lines" w:linePitch="381" w:charSpace="0"/>
        </w:sectPr>
      </w:pPr>
    </w:p>
    <w:p>
      <w:pPr>
        <w:ind w:firstLine="560"/>
        <w:rPr>
          <w:color w:val="auto"/>
          <w:highlight w:val="none"/>
        </w:rPr>
      </w:pPr>
      <w:r>
        <w:rPr>
          <w:rFonts w:hint="eastAsia"/>
          <w:color w:val="auto"/>
          <w:highlight w:val="none"/>
        </w:rPr>
        <w:t>根据上表，咸宁高新区现有23个行业大类中</w:t>
      </w:r>
      <w:r>
        <w:rPr>
          <w:color w:val="auto"/>
          <w:highlight w:val="none"/>
        </w:rPr>
        <w:t>，</w:t>
      </w:r>
      <w:r>
        <w:rPr>
          <w:rFonts w:hint="eastAsia"/>
          <w:color w:val="auto"/>
          <w:highlight w:val="none"/>
        </w:rPr>
        <w:t>多数</w:t>
      </w:r>
      <w:r>
        <w:rPr>
          <w:color w:val="auto"/>
          <w:highlight w:val="none"/>
        </w:rPr>
        <w:t>产业</w:t>
      </w:r>
      <w:r>
        <w:rPr>
          <w:rFonts w:hint="eastAsia"/>
          <w:color w:val="auto"/>
          <w:highlight w:val="none"/>
        </w:rPr>
        <w:t>优于上海市平均水平，区内指标高于《上海产业能效指南（20</w:t>
      </w:r>
      <w:r>
        <w:rPr>
          <w:rFonts w:hint="eastAsia"/>
          <w:color w:val="auto"/>
          <w:highlight w:val="none"/>
          <w:lang w:val="en-US" w:eastAsia="zh-CN"/>
        </w:rPr>
        <w:t>22</w:t>
      </w:r>
      <w:r>
        <w:rPr>
          <w:rFonts w:hint="eastAsia"/>
          <w:color w:val="auto"/>
          <w:highlight w:val="none"/>
        </w:rPr>
        <w:t>年版）》的</w:t>
      </w:r>
      <w:r>
        <w:rPr>
          <w:color w:val="auto"/>
          <w:highlight w:val="none"/>
        </w:rPr>
        <w:t>行业</w:t>
      </w:r>
      <w:r>
        <w:rPr>
          <w:rFonts w:hint="eastAsia"/>
          <w:color w:val="auto"/>
          <w:highlight w:val="none"/>
        </w:rPr>
        <w:t>大类如</w:t>
      </w:r>
      <w:r>
        <w:rPr>
          <w:color w:val="auto"/>
          <w:highlight w:val="none"/>
        </w:rPr>
        <w:t>下表所示</w:t>
      </w:r>
      <w:r>
        <w:rPr>
          <w:rFonts w:hint="eastAsia"/>
          <w:color w:val="auto"/>
          <w:highlight w:val="none"/>
        </w:rPr>
        <w:t>：</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2</w:t>
      </w:r>
      <w:r>
        <w:rPr>
          <w:color w:val="auto"/>
          <w:highlight w:val="none"/>
        </w:rPr>
        <w:fldChar w:fldCharType="end"/>
      </w:r>
      <w:r>
        <w:rPr>
          <w:color w:val="auto"/>
          <w:highlight w:val="none"/>
        </w:rPr>
        <w:t xml:space="preserve"> </w:t>
      </w:r>
      <w:r>
        <w:rPr>
          <w:rFonts w:hint="eastAsia"/>
          <w:color w:val="auto"/>
          <w:highlight w:val="none"/>
        </w:rPr>
        <w:t>咸宁</w:t>
      </w:r>
      <w:r>
        <w:rPr>
          <w:color w:val="auto"/>
          <w:highlight w:val="none"/>
        </w:rPr>
        <w:t>高新区</w:t>
      </w:r>
      <w:r>
        <w:rPr>
          <w:rFonts w:hint="eastAsia"/>
          <w:color w:val="auto"/>
          <w:highlight w:val="none"/>
        </w:rPr>
        <w:t>行业</w:t>
      </w:r>
      <w:r>
        <w:rPr>
          <w:color w:val="auto"/>
          <w:highlight w:val="none"/>
        </w:rPr>
        <w:t>大类</w:t>
      </w:r>
      <w:r>
        <w:rPr>
          <w:rFonts w:hint="eastAsia"/>
          <w:color w:val="auto"/>
          <w:highlight w:val="none"/>
        </w:rPr>
        <w:t>能效水平对比（当量值）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19"/>
        <w:gridCol w:w="1187"/>
        <w:gridCol w:w="2900"/>
        <w:gridCol w:w="1276"/>
        <w:gridCol w:w="1278"/>
        <w:gridCol w:w="1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序号</w:t>
            </w:r>
          </w:p>
        </w:tc>
        <w:tc>
          <w:tcPr>
            <w:tcW w:w="710"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行业代码</w:t>
            </w:r>
          </w:p>
        </w:tc>
        <w:tc>
          <w:tcPr>
            <w:tcW w:w="17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行业名称</w:t>
            </w:r>
          </w:p>
        </w:tc>
        <w:tc>
          <w:tcPr>
            <w:tcW w:w="76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开发区</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（tce/万元）</w:t>
            </w:r>
          </w:p>
        </w:tc>
        <w:tc>
          <w:tcPr>
            <w:tcW w:w="76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上海</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（tce/万元）</w:t>
            </w:r>
          </w:p>
        </w:tc>
        <w:tc>
          <w:tcPr>
            <w:tcW w:w="659" w:type="pct"/>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高出</w:t>
            </w:r>
            <w:r>
              <w:rPr>
                <w:rFonts w:eastAsiaTheme="minorEastAsia"/>
                <w:b/>
                <w:color w:val="auto"/>
                <w:kern w:val="0"/>
                <w:sz w:val="24"/>
                <w:szCs w:val="24"/>
                <w:highlight w:val="none"/>
              </w:rPr>
              <w:t>比例</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C14</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食品制造业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0.0960</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0.064</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2</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C17</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纺织业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0.1341</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0.092</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45.76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3</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C21</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家具制造业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0.0493</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0.024</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105.42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C22</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造纸和纸制品业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0.5452</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0.139</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292.23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5</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C23</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印刷和记录媒介复制业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0.1053</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0.075</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6</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C30</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非金属矿物制品业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0.7680</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0.117</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556.41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7</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C35</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专用设备制造业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0.0274</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0.025</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8</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C36</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汽车制造业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0.0356</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0.027</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31.85</w:t>
            </w:r>
          </w:p>
        </w:tc>
      </w:tr>
    </w:tbl>
    <w:p>
      <w:pPr>
        <w:spacing w:line="240" w:lineRule="auto"/>
        <w:ind w:firstLine="0" w:firstLineChars="0"/>
        <w:rPr>
          <w:color w:val="auto"/>
          <w:highlight w:val="none"/>
        </w:rPr>
      </w:pPr>
    </w:p>
    <w:p>
      <w:pPr>
        <w:ind w:firstLine="560"/>
        <w:rPr>
          <w:color w:val="auto"/>
          <w:highlight w:val="none"/>
        </w:rPr>
      </w:pPr>
      <w:r>
        <w:rPr>
          <w:rFonts w:hint="eastAsia"/>
          <w:color w:val="auto"/>
          <w:highlight w:val="none"/>
        </w:rPr>
        <w:t>对比《上海产业能效指南（20</w:t>
      </w:r>
      <w:r>
        <w:rPr>
          <w:rFonts w:hint="eastAsia"/>
          <w:color w:val="auto"/>
          <w:highlight w:val="none"/>
          <w:lang w:val="en-US" w:eastAsia="zh-CN"/>
        </w:rPr>
        <w:t>21</w:t>
      </w:r>
      <w:r>
        <w:rPr>
          <w:rFonts w:hint="eastAsia"/>
          <w:color w:val="auto"/>
          <w:highlight w:val="none"/>
        </w:rPr>
        <w:t>年版）》，</w:t>
      </w:r>
      <w:r>
        <w:rPr>
          <w:color w:val="auto"/>
          <w:highlight w:val="none"/>
        </w:rPr>
        <w:t>咸宁高新区</w:t>
      </w:r>
      <w:r>
        <w:rPr>
          <w:rFonts w:hint="eastAsia"/>
          <w:color w:val="auto"/>
          <w:highlight w:val="none"/>
        </w:rPr>
        <w:t>行业</w:t>
      </w:r>
      <w:r>
        <w:rPr>
          <w:color w:val="auto"/>
          <w:highlight w:val="none"/>
        </w:rPr>
        <w:t>能效差距</w:t>
      </w:r>
      <w:r>
        <w:rPr>
          <w:rFonts w:hint="eastAsia"/>
          <w:color w:val="auto"/>
          <w:highlight w:val="none"/>
        </w:rPr>
        <w:t>较大</w:t>
      </w:r>
      <w:r>
        <w:rPr>
          <w:color w:val="auto"/>
          <w:highlight w:val="none"/>
        </w:rPr>
        <w:t>的行业主要为</w:t>
      </w:r>
      <w:r>
        <w:rPr>
          <w:rFonts w:hint="eastAsia"/>
          <w:color w:val="auto"/>
          <w:highlight w:val="none"/>
        </w:rPr>
        <w:t>非金属矿物制品业及造纸和纸制品业。</w:t>
      </w:r>
      <w:r>
        <w:rPr>
          <w:color w:val="auto"/>
          <w:highlight w:val="none"/>
        </w:rPr>
        <w:t>其中</w:t>
      </w:r>
      <w:r>
        <w:rPr>
          <w:rFonts w:hint="eastAsia"/>
          <w:color w:val="auto"/>
          <w:highlight w:val="none"/>
        </w:rPr>
        <w:t>，产生非金属矿物制品业能效</w:t>
      </w:r>
      <w:r>
        <w:rPr>
          <w:color w:val="auto"/>
          <w:highlight w:val="none"/>
        </w:rPr>
        <w:t>差距的原因是</w:t>
      </w:r>
      <w:r>
        <w:rPr>
          <w:rFonts w:hint="eastAsia"/>
          <w:color w:val="auto"/>
          <w:highlight w:val="none"/>
        </w:rPr>
        <w:t>：</w:t>
      </w:r>
      <w:r>
        <w:rPr>
          <w:color w:val="auto"/>
          <w:highlight w:val="none"/>
        </w:rPr>
        <w:t>咸宁高新区内有</w:t>
      </w:r>
      <w:r>
        <w:rPr>
          <w:rFonts w:hint="eastAsia"/>
          <w:color w:val="auto"/>
          <w:highlight w:val="none"/>
        </w:rPr>
        <w:t>南玻</w:t>
      </w:r>
      <w:r>
        <w:rPr>
          <w:color w:val="auto"/>
          <w:highlight w:val="none"/>
        </w:rPr>
        <w:t>集团</w:t>
      </w:r>
      <w:r>
        <w:rPr>
          <w:rFonts w:hint="eastAsia"/>
          <w:color w:val="auto"/>
          <w:highlight w:val="none"/>
        </w:rPr>
        <w:t>下属</w:t>
      </w:r>
      <w:r>
        <w:rPr>
          <w:color w:val="auto"/>
          <w:highlight w:val="none"/>
        </w:rPr>
        <w:t>的</w:t>
      </w:r>
      <w:r>
        <w:rPr>
          <w:rFonts w:hint="eastAsia"/>
          <w:color w:val="auto"/>
          <w:highlight w:val="none"/>
        </w:rPr>
        <w:t>南玻玻璃、南玻</w:t>
      </w:r>
      <w:r>
        <w:rPr>
          <w:color w:val="auto"/>
          <w:highlight w:val="none"/>
        </w:rPr>
        <w:t>光电</w:t>
      </w:r>
      <w:r>
        <w:rPr>
          <w:rFonts w:hint="eastAsia"/>
          <w:color w:val="auto"/>
          <w:highlight w:val="none"/>
        </w:rPr>
        <w:t>玻璃、南玻节能玻璃三家玻璃</w:t>
      </w:r>
      <w:r>
        <w:rPr>
          <w:color w:val="auto"/>
          <w:highlight w:val="none"/>
        </w:rPr>
        <w:t>制造高耗能企业</w:t>
      </w:r>
      <w:r>
        <w:rPr>
          <w:rFonts w:hint="eastAsia"/>
          <w:color w:val="auto"/>
          <w:highlight w:val="none"/>
        </w:rPr>
        <w:t>，</w:t>
      </w:r>
      <w:r>
        <w:rPr>
          <w:color w:val="auto"/>
          <w:highlight w:val="none"/>
        </w:rPr>
        <w:t>占</w:t>
      </w:r>
      <w:r>
        <w:rPr>
          <w:rFonts w:hint="eastAsia"/>
          <w:color w:val="auto"/>
          <w:highlight w:val="none"/>
        </w:rPr>
        <w:t>到区内该行业</w:t>
      </w:r>
      <w:r>
        <w:rPr>
          <w:color w:val="auto"/>
          <w:highlight w:val="none"/>
        </w:rPr>
        <w:t>能耗的</w:t>
      </w:r>
      <w:r>
        <w:rPr>
          <w:rFonts w:hint="eastAsia"/>
          <w:color w:val="auto"/>
          <w:highlight w:val="none"/>
        </w:rPr>
        <w:t>99</w:t>
      </w:r>
      <w:r>
        <w:rPr>
          <w:color w:val="auto"/>
          <w:highlight w:val="none"/>
        </w:rPr>
        <w:t>%</w:t>
      </w:r>
      <w:r>
        <w:rPr>
          <w:rFonts w:hint="eastAsia"/>
          <w:color w:val="auto"/>
          <w:highlight w:val="none"/>
        </w:rPr>
        <w:t>，拉低</w:t>
      </w:r>
      <w:r>
        <w:rPr>
          <w:color w:val="auto"/>
          <w:highlight w:val="none"/>
        </w:rPr>
        <w:t>了</w:t>
      </w:r>
      <w:r>
        <w:rPr>
          <w:rFonts w:hint="eastAsia"/>
          <w:color w:val="auto"/>
          <w:highlight w:val="none"/>
        </w:rPr>
        <w:t>区内</w:t>
      </w:r>
      <w:r>
        <w:rPr>
          <w:color w:val="auto"/>
          <w:highlight w:val="none"/>
        </w:rPr>
        <w:t>该产业</w:t>
      </w:r>
      <w:r>
        <w:rPr>
          <w:rFonts w:hint="eastAsia"/>
          <w:color w:val="auto"/>
          <w:highlight w:val="none"/>
        </w:rPr>
        <w:t>的</w:t>
      </w:r>
      <w:r>
        <w:rPr>
          <w:color w:val="auto"/>
          <w:highlight w:val="none"/>
        </w:rPr>
        <w:t>产值能耗水平</w:t>
      </w:r>
      <w:r>
        <w:rPr>
          <w:rFonts w:hint="eastAsia"/>
          <w:color w:val="auto"/>
          <w:highlight w:val="none"/>
        </w:rPr>
        <w:t>，同时，上海市非金属矿物制品业在</w:t>
      </w:r>
      <w:r>
        <w:rPr>
          <w:color w:val="auto"/>
          <w:highlight w:val="none"/>
        </w:rPr>
        <w:t>企业数量及</w:t>
      </w:r>
      <w:r>
        <w:rPr>
          <w:rFonts w:hint="eastAsia"/>
          <w:color w:val="auto"/>
          <w:highlight w:val="none"/>
        </w:rPr>
        <w:t>产品</w:t>
      </w:r>
      <w:r>
        <w:rPr>
          <w:color w:val="auto"/>
          <w:highlight w:val="none"/>
        </w:rPr>
        <w:t>附加值水平与高新</w:t>
      </w:r>
      <w:r>
        <w:rPr>
          <w:rFonts w:hint="eastAsia"/>
          <w:color w:val="auto"/>
          <w:highlight w:val="none"/>
        </w:rPr>
        <w:t>区仅有</w:t>
      </w:r>
      <w:r>
        <w:rPr>
          <w:color w:val="auto"/>
          <w:highlight w:val="none"/>
        </w:rPr>
        <w:t>的三家企业</w:t>
      </w:r>
      <w:r>
        <w:rPr>
          <w:rFonts w:hint="eastAsia"/>
          <w:color w:val="auto"/>
          <w:highlight w:val="none"/>
        </w:rPr>
        <w:t>存在显著</w:t>
      </w:r>
      <w:r>
        <w:rPr>
          <w:color w:val="auto"/>
          <w:highlight w:val="none"/>
        </w:rPr>
        <w:t>差距，因此造成了</w:t>
      </w:r>
      <w:r>
        <w:rPr>
          <w:rFonts w:hint="eastAsia"/>
          <w:color w:val="auto"/>
          <w:highlight w:val="none"/>
        </w:rPr>
        <w:t>两者产值能耗指标</w:t>
      </w:r>
      <w:r>
        <w:rPr>
          <w:color w:val="auto"/>
          <w:highlight w:val="none"/>
        </w:rPr>
        <w:t>的</w:t>
      </w:r>
      <w:r>
        <w:rPr>
          <w:rFonts w:hint="eastAsia"/>
          <w:color w:val="auto"/>
          <w:highlight w:val="none"/>
        </w:rPr>
        <w:t>明显</w:t>
      </w:r>
      <w:r>
        <w:rPr>
          <w:color w:val="auto"/>
          <w:highlight w:val="none"/>
        </w:rPr>
        <w:t>差距</w:t>
      </w:r>
      <w:r>
        <w:rPr>
          <w:rFonts w:hint="eastAsia"/>
          <w:color w:val="auto"/>
          <w:highlight w:val="none"/>
        </w:rPr>
        <w:t>。造成造纸和纸制品业能效差距的原因是：</w:t>
      </w:r>
      <w:r>
        <w:rPr>
          <w:color w:val="auto"/>
          <w:highlight w:val="none"/>
        </w:rPr>
        <w:t>区内仅有</w:t>
      </w:r>
      <w:r>
        <w:rPr>
          <w:rFonts w:hint="eastAsia"/>
          <w:color w:val="auto"/>
          <w:highlight w:val="none"/>
        </w:rPr>
        <w:t>湖北恒丰纸业有限公司一家</w:t>
      </w:r>
      <w:r>
        <w:rPr>
          <w:color w:val="auto"/>
          <w:highlight w:val="none"/>
        </w:rPr>
        <w:t>造纸企业，</w:t>
      </w:r>
      <w:r>
        <w:rPr>
          <w:rFonts w:hint="eastAsia"/>
          <w:color w:val="auto"/>
          <w:highlight w:val="none"/>
        </w:rPr>
        <w:t>而</w:t>
      </w:r>
      <w:r>
        <w:rPr>
          <w:color w:val="auto"/>
          <w:highlight w:val="none"/>
        </w:rPr>
        <w:t>该企业主要产品为</w:t>
      </w:r>
      <w:r>
        <w:rPr>
          <w:rFonts w:hint="eastAsia"/>
          <w:color w:val="auto"/>
          <w:highlight w:val="none"/>
        </w:rPr>
        <w:t>烟草工业用纸</w:t>
      </w:r>
      <w:r>
        <w:rPr>
          <w:color w:val="auto"/>
          <w:highlight w:val="none"/>
        </w:rPr>
        <w:t>，</w:t>
      </w:r>
      <w:r>
        <w:rPr>
          <w:rFonts w:hint="eastAsia"/>
          <w:color w:val="auto"/>
          <w:highlight w:val="none"/>
        </w:rPr>
        <w:t>包括铝箔衬纸、薄型印刷纸和其他纸类产品，</w:t>
      </w:r>
      <w:r>
        <w:rPr>
          <w:color w:val="auto"/>
          <w:highlight w:val="none"/>
        </w:rPr>
        <w:t>受</w:t>
      </w:r>
      <w:r>
        <w:rPr>
          <w:rFonts w:hint="eastAsia"/>
          <w:color w:val="auto"/>
          <w:highlight w:val="none"/>
        </w:rPr>
        <w:t>产品</w:t>
      </w:r>
      <w:r>
        <w:rPr>
          <w:color w:val="auto"/>
          <w:highlight w:val="none"/>
        </w:rPr>
        <w:t>和工艺要求</w:t>
      </w:r>
      <w:r>
        <w:rPr>
          <w:rFonts w:hint="eastAsia"/>
          <w:color w:val="auto"/>
          <w:highlight w:val="none"/>
        </w:rPr>
        <w:t>，</w:t>
      </w:r>
      <w:r>
        <w:rPr>
          <w:color w:val="auto"/>
          <w:highlight w:val="none"/>
        </w:rPr>
        <w:t>其</w:t>
      </w:r>
      <w:r>
        <w:rPr>
          <w:rFonts w:hint="eastAsia"/>
          <w:color w:val="auto"/>
          <w:highlight w:val="none"/>
        </w:rPr>
        <w:t>生产能耗</w:t>
      </w:r>
      <w:r>
        <w:rPr>
          <w:color w:val="auto"/>
          <w:highlight w:val="none"/>
        </w:rPr>
        <w:t>高于普通</w:t>
      </w:r>
      <w:r>
        <w:rPr>
          <w:rFonts w:hint="eastAsia"/>
          <w:color w:val="auto"/>
          <w:highlight w:val="none"/>
        </w:rPr>
        <w:t>包装用纸。</w:t>
      </w:r>
    </w:p>
    <w:p>
      <w:pPr>
        <w:ind w:firstLine="560"/>
        <w:rPr>
          <w:color w:val="auto"/>
          <w:highlight w:val="none"/>
        </w:rPr>
      </w:pPr>
      <w:r>
        <w:rPr>
          <w:rFonts w:hint="eastAsia"/>
          <w:color w:val="auto"/>
          <w:highlight w:val="none"/>
        </w:rPr>
        <w:t>就</w:t>
      </w:r>
      <w:r>
        <w:rPr>
          <w:color w:val="auto"/>
          <w:highlight w:val="none"/>
        </w:rPr>
        <w:t>具体细分行业，</w:t>
      </w:r>
      <w:r>
        <w:rPr>
          <w:rFonts w:hint="eastAsia"/>
          <w:color w:val="auto"/>
          <w:highlight w:val="none"/>
        </w:rPr>
        <w:t>咸宁</w:t>
      </w:r>
      <w:r>
        <w:rPr>
          <w:color w:val="auto"/>
          <w:highlight w:val="none"/>
        </w:rPr>
        <w:t>高新区</w:t>
      </w:r>
      <w:r>
        <w:rPr>
          <w:rFonts w:hint="eastAsia"/>
          <w:color w:val="auto"/>
          <w:highlight w:val="none"/>
        </w:rPr>
        <w:t>尚有18个</w:t>
      </w:r>
      <w:r>
        <w:rPr>
          <w:color w:val="auto"/>
          <w:highlight w:val="none"/>
        </w:rPr>
        <w:t>行业高于</w:t>
      </w:r>
      <w:r>
        <w:rPr>
          <w:rFonts w:hint="eastAsia"/>
          <w:color w:val="auto"/>
          <w:highlight w:val="none"/>
        </w:rPr>
        <w:t>对比值</w:t>
      </w:r>
      <w:r>
        <w:rPr>
          <w:color w:val="auto"/>
          <w:highlight w:val="none"/>
        </w:rPr>
        <w:t>，</w:t>
      </w:r>
      <w:r>
        <w:rPr>
          <w:rFonts w:hint="eastAsia"/>
          <w:color w:val="auto"/>
          <w:highlight w:val="none"/>
        </w:rPr>
        <w:t>未来咸宁高新区应加强以下行业节能降耗工作力度。</w:t>
      </w:r>
      <w:r>
        <w:rPr>
          <w:color w:val="auto"/>
          <w:highlight w:val="none"/>
        </w:rPr>
        <w:t>具体</w:t>
      </w:r>
      <w:r>
        <w:rPr>
          <w:rFonts w:hint="eastAsia"/>
          <w:color w:val="auto"/>
          <w:highlight w:val="none"/>
        </w:rPr>
        <w:t>如下表</w:t>
      </w:r>
      <w:r>
        <w:rPr>
          <w:color w:val="auto"/>
          <w:highlight w:val="none"/>
        </w:rPr>
        <w:t>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3</w:t>
      </w:r>
      <w:r>
        <w:rPr>
          <w:color w:val="auto"/>
          <w:highlight w:val="none"/>
        </w:rPr>
        <w:fldChar w:fldCharType="end"/>
      </w:r>
      <w:r>
        <w:rPr>
          <w:color w:val="auto"/>
          <w:highlight w:val="none"/>
        </w:rPr>
        <w:t xml:space="preserve"> </w:t>
      </w:r>
      <w:r>
        <w:rPr>
          <w:rFonts w:hint="eastAsia"/>
          <w:color w:val="auto"/>
          <w:highlight w:val="none"/>
        </w:rPr>
        <w:t>咸宁高新区行业小类能效水平对比（当量值）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0"/>
        <w:gridCol w:w="1053"/>
        <w:gridCol w:w="2896"/>
        <w:gridCol w:w="1420"/>
        <w:gridCol w:w="1276"/>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b/>
                <w:color w:val="auto"/>
                <w:sz w:val="24"/>
                <w:szCs w:val="24"/>
                <w:highlight w:val="none"/>
              </w:rPr>
              <w:t>序号</w:t>
            </w:r>
          </w:p>
        </w:tc>
        <w:tc>
          <w:tcPr>
            <w:tcW w:w="6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b/>
                <w:color w:val="auto"/>
                <w:sz w:val="24"/>
                <w:szCs w:val="24"/>
                <w:highlight w:val="none"/>
              </w:rPr>
              <w:t>行业代码</w:t>
            </w:r>
          </w:p>
        </w:tc>
        <w:tc>
          <w:tcPr>
            <w:tcW w:w="1741"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b/>
                <w:color w:val="auto"/>
                <w:sz w:val="24"/>
                <w:szCs w:val="24"/>
                <w:highlight w:val="none"/>
              </w:rPr>
              <w:t>行业名称</w:t>
            </w:r>
          </w:p>
        </w:tc>
        <w:tc>
          <w:tcPr>
            <w:tcW w:w="854" w:type="pct"/>
            <w:shd w:val="clear" w:color="auto" w:fill="auto"/>
            <w:noWrap/>
            <w:vAlign w:val="center"/>
          </w:tcPr>
          <w:p>
            <w:pPr>
              <w:widowControl/>
              <w:spacing w:line="240" w:lineRule="auto"/>
              <w:ind w:firstLine="0" w:firstLineChars="0"/>
              <w:jc w:val="center"/>
              <w:rPr>
                <w:b/>
                <w:color w:val="auto"/>
                <w:sz w:val="24"/>
                <w:szCs w:val="24"/>
                <w:highlight w:val="none"/>
              </w:rPr>
            </w:pPr>
            <w:r>
              <w:rPr>
                <w:rFonts w:hint="eastAsia"/>
                <w:b/>
                <w:color w:val="auto"/>
                <w:sz w:val="24"/>
                <w:szCs w:val="24"/>
                <w:highlight w:val="none"/>
              </w:rPr>
              <w:t>开发区</w:t>
            </w:r>
          </w:p>
          <w:p>
            <w:pPr>
              <w:widowControl/>
              <w:spacing w:line="240" w:lineRule="auto"/>
              <w:ind w:firstLine="0" w:firstLineChars="0"/>
              <w:jc w:val="center"/>
              <w:rPr>
                <w:rFonts w:eastAsiaTheme="minorEastAsia"/>
                <w:b/>
                <w:color w:val="auto"/>
                <w:kern w:val="0"/>
                <w:sz w:val="24"/>
                <w:szCs w:val="24"/>
                <w:highlight w:val="none"/>
              </w:rPr>
            </w:pPr>
            <w:r>
              <w:rPr>
                <w:rFonts w:hint="eastAsia"/>
                <w:b/>
                <w:color w:val="auto"/>
                <w:sz w:val="24"/>
                <w:szCs w:val="24"/>
                <w:highlight w:val="none"/>
              </w:rPr>
              <w:t>（tce/万元）</w:t>
            </w:r>
          </w:p>
        </w:tc>
        <w:tc>
          <w:tcPr>
            <w:tcW w:w="767"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上海</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（tce/万元）</w:t>
            </w:r>
          </w:p>
        </w:tc>
        <w:tc>
          <w:tcPr>
            <w:tcW w:w="650"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高出比例</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C1411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糕点、面包制造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0.1589</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0.064</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148.3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C1491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营养食品制造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0.0797</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0.057</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C1499</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其他未列明食品制造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0.3169</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0.057</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C1521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碳酸饮料制造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0.5397</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0.094</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474.1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C1522</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瓶（罐）装饮用水制造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0.1387</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0.094</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C1731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麻纤维纺前加工和纺纱</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0.1361</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0.022</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C1772</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毛巾类制品制造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0.1913</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0.018</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962.8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8</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C2130</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金属家具制造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0.1461</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0.016</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813.1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9</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C2221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木竹浆制造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0.5452</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0.365</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C2319</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其他文教办公用品制造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0.1314</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0.074</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11</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C3041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平板玻璃制造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1.7207</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0.189</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810.4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12</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C3052</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光学玻璃制造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1.0694</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0.096</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13</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C3513</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深海石油钻探设备制造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0.0694</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0.024</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189.2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14</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C3599</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其他专用设备制造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0.0283</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0.009</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15</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C3660</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汽车车身、挂车制造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0.0327</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0.022</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16</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C3670</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汽车零部件及配件制造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0.0360</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0.033</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17</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C3713</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窄轨机车车辆制造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0.0302</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0.023</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18</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D4610</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自来水生产和供应</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0.3528</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0.292</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20.8</w:t>
            </w:r>
          </w:p>
        </w:tc>
      </w:tr>
    </w:tbl>
    <w:p>
      <w:pPr>
        <w:spacing w:after="190" w:afterLines="50"/>
        <w:ind w:firstLine="0" w:firstLineChars="0"/>
        <w:rPr>
          <w:color w:val="auto"/>
          <w:sz w:val="21"/>
          <w:highlight w:val="none"/>
        </w:rPr>
      </w:pPr>
      <w:r>
        <w:rPr>
          <w:rFonts w:hint="eastAsia"/>
          <w:color w:val="auto"/>
          <w:sz w:val="21"/>
          <w:highlight w:val="none"/>
        </w:rPr>
        <w:t>注：</w:t>
      </w:r>
      <w:r>
        <w:rPr>
          <w:color w:val="auto"/>
          <w:sz w:val="21"/>
          <w:highlight w:val="none"/>
        </w:rPr>
        <w:t>咸宁高新区</w:t>
      </w:r>
      <w:r>
        <w:rPr>
          <w:rFonts w:hint="eastAsia"/>
          <w:color w:val="auto"/>
          <w:sz w:val="21"/>
          <w:highlight w:val="none"/>
        </w:rPr>
        <w:t>部分</w:t>
      </w:r>
      <w:r>
        <w:rPr>
          <w:color w:val="auto"/>
          <w:sz w:val="21"/>
          <w:highlight w:val="none"/>
        </w:rPr>
        <w:t>行业</w:t>
      </w:r>
      <w:r>
        <w:rPr>
          <w:rFonts w:hint="eastAsia"/>
          <w:color w:val="auto"/>
          <w:sz w:val="21"/>
          <w:highlight w:val="none"/>
        </w:rPr>
        <w:t>企业</w:t>
      </w:r>
      <w:r>
        <w:rPr>
          <w:color w:val="auto"/>
          <w:sz w:val="21"/>
          <w:highlight w:val="none"/>
        </w:rPr>
        <w:t>数量</w:t>
      </w:r>
      <w:r>
        <w:rPr>
          <w:rFonts w:hint="eastAsia"/>
          <w:color w:val="auto"/>
          <w:sz w:val="21"/>
          <w:highlight w:val="none"/>
        </w:rPr>
        <w:t>较少，导致</w:t>
      </w:r>
      <w:r>
        <w:rPr>
          <w:color w:val="auto"/>
          <w:sz w:val="21"/>
          <w:highlight w:val="none"/>
        </w:rPr>
        <w:t>与上海</w:t>
      </w:r>
      <w:r>
        <w:rPr>
          <w:rFonts w:hint="eastAsia"/>
          <w:color w:val="auto"/>
          <w:sz w:val="21"/>
          <w:highlight w:val="none"/>
        </w:rPr>
        <w:t>市</w:t>
      </w:r>
      <w:r>
        <w:rPr>
          <w:color w:val="auto"/>
          <w:sz w:val="21"/>
          <w:highlight w:val="none"/>
        </w:rPr>
        <w:t>对应行业</w:t>
      </w:r>
      <w:r>
        <w:rPr>
          <w:rFonts w:hint="eastAsia"/>
          <w:color w:val="auto"/>
          <w:sz w:val="21"/>
          <w:highlight w:val="none"/>
        </w:rPr>
        <w:t>产值能效</w:t>
      </w:r>
      <w:r>
        <w:rPr>
          <w:color w:val="auto"/>
          <w:sz w:val="21"/>
          <w:highlight w:val="none"/>
        </w:rPr>
        <w:t>对比差距较大。</w:t>
      </w:r>
    </w:p>
    <w:p>
      <w:pPr>
        <w:ind w:firstLine="560"/>
        <w:rPr>
          <w:color w:val="auto"/>
          <w:highlight w:val="none"/>
        </w:rPr>
      </w:pPr>
      <w:r>
        <w:rPr>
          <w:rFonts w:hint="eastAsia"/>
          <w:color w:val="auto"/>
          <w:highlight w:val="none"/>
        </w:rPr>
        <w:t>《上海产业能效指南（20</w:t>
      </w:r>
      <w:r>
        <w:rPr>
          <w:rFonts w:hint="eastAsia"/>
          <w:color w:val="auto"/>
          <w:highlight w:val="none"/>
          <w:lang w:val="en-US" w:eastAsia="zh-CN"/>
        </w:rPr>
        <w:t>21</w:t>
      </w:r>
      <w:r>
        <w:rPr>
          <w:rFonts w:hint="eastAsia"/>
          <w:color w:val="auto"/>
          <w:highlight w:val="none"/>
        </w:rPr>
        <w:t>年版）》产值能效数据仅细分到行业中类，并且由于咸宁</w:t>
      </w:r>
      <w:r>
        <w:rPr>
          <w:color w:val="auto"/>
          <w:highlight w:val="none"/>
        </w:rPr>
        <w:t>高新区与上海市在同行业企业</w:t>
      </w:r>
      <w:r>
        <w:rPr>
          <w:rFonts w:hint="eastAsia"/>
          <w:color w:val="auto"/>
          <w:highlight w:val="none"/>
        </w:rPr>
        <w:t>数量、细分种类</w:t>
      </w:r>
      <w:r>
        <w:rPr>
          <w:color w:val="auto"/>
          <w:highlight w:val="none"/>
        </w:rPr>
        <w:t>、产值</w:t>
      </w:r>
      <w:r>
        <w:rPr>
          <w:rFonts w:hint="eastAsia"/>
          <w:color w:val="auto"/>
          <w:highlight w:val="none"/>
        </w:rPr>
        <w:t>规模</w:t>
      </w:r>
      <w:r>
        <w:rPr>
          <w:color w:val="auto"/>
          <w:highlight w:val="none"/>
        </w:rPr>
        <w:t>上有</w:t>
      </w:r>
      <w:r>
        <w:rPr>
          <w:rFonts w:hint="eastAsia"/>
          <w:color w:val="auto"/>
          <w:highlight w:val="none"/>
        </w:rPr>
        <w:t>显著</w:t>
      </w:r>
      <w:r>
        <w:rPr>
          <w:color w:val="auto"/>
          <w:highlight w:val="none"/>
        </w:rPr>
        <w:t>差异，因此</w:t>
      </w:r>
      <w:r>
        <w:rPr>
          <w:rFonts w:hint="eastAsia"/>
          <w:color w:val="auto"/>
          <w:highlight w:val="none"/>
        </w:rPr>
        <w:t>造成</w:t>
      </w:r>
      <w:r>
        <w:rPr>
          <w:color w:val="auto"/>
          <w:highlight w:val="none"/>
        </w:rPr>
        <w:t>两者</w:t>
      </w:r>
      <w:r>
        <w:rPr>
          <w:rFonts w:hint="eastAsia"/>
          <w:color w:val="auto"/>
          <w:highlight w:val="none"/>
        </w:rPr>
        <w:t>部分</w:t>
      </w:r>
      <w:r>
        <w:rPr>
          <w:color w:val="auto"/>
          <w:highlight w:val="none"/>
        </w:rPr>
        <w:t>产业在</w:t>
      </w:r>
      <w:r>
        <w:rPr>
          <w:rFonts w:hint="eastAsia"/>
          <w:color w:val="auto"/>
          <w:highlight w:val="none"/>
        </w:rPr>
        <w:t>产值</w:t>
      </w:r>
      <w:r>
        <w:rPr>
          <w:color w:val="auto"/>
          <w:highlight w:val="none"/>
        </w:rPr>
        <w:t>能耗</w:t>
      </w:r>
      <w:r>
        <w:rPr>
          <w:rFonts w:hint="eastAsia"/>
          <w:color w:val="auto"/>
          <w:highlight w:val="none"/>
        </w:rPr>
        <w:t>上</w:t>
      </w:r>
      <w:r>
        <w:rPr>
          <w:color w:val="auto"/>
          <w:highlight w:val="none"/>
        </w:rPr>
        <w:t>的明显</w:t>
      </w:r>
      <w:r>
        <w:rPr>
          <w:rFonts w:hint="eastAsia"/>
          <w:color w:val="auto"/>
          <w:highlight w:val="none"/>
        </w:rPr>
        <w:t>差异</w:t>
      </w:r>
      <w:r>
        <w:rPr>
          <w:color w:val="auto"/>
          <w:highlight w:val="none"/>
        </w:rPr>
        <w:t>。</w:t>
      </w:r>
      <w:r>
        <w:rPr>
          <w:rFonts w:hint="eastAsia"/>
          <w:color w:val="auto"/>
          <w:highlight w:val="none"/>
        </w:rPr>
        <w:t>以光学玻璃制造</w:t>
      </w:r>
      <w:r>
        <w:rPr>
          <w:color w:val="auto"/>
          <w:highlight w:val="none"/>
        </w:rPr>
        <w:t>（C3052）</w:t>
      </w:r>
      <w:r>
        <w:rPr>
          <w:rFonts w:hint="eastAsia"/>
          <w:color w:val="auto"/>
          <w:highlight w:val="none"/>
        </w:rPr>
        <w:t>为例</w:t>
      </w:r>
      <w:r>
        <w:rPr>
          <w:color w:val="auto"/>
          <w:highlight w:val="none"/>
        </w:rPr>
        <w:t>，咸宁高新区内仅一家</w:t>
      </w:r>
      <w:r>
        <w:rPr>
          <w:rFonts w:hint="eastAsia"/>
          <w:color w:val="auto"/>
          <w:highlight w:val="none"/>
        </w:rPr>
        <w:t>企业</w:t>
      </w:r>
      <w:r>
        <w:rPr>
          <w:color w:val="auto"/>
          <w:highlight w:val="none"/>
        </w:rPr>
        <w:t>，</w:t>
      </w:r>
      <w:r>
        <w:rPr>
          <w:rFonts w:hint="eastAsia"/>
          <w:color w:val="auto"/>
          <w:highlight w:val="none"/>
        </w:rPr>
        <w:t>将其与</w:t>
      </w:r>
      <w:r>
        <w:rPr>
          <w:color w:val="auto"/>
          <w:highlight w:val="none"/>
        </w:rPr>
        <w:t>上海市</w:t>
      </w:r>
      <w:r>
        <w:rPr>
          <w:rFonts w:hint="eastAsia"/>
          <w:color w:val="auto"/>
          <w:highlight w:val="none"/>
        </w:rPr>
        <w:t>整个玻璃制品制造（C</w:t>
      </w:r>
      <w:r>
        <w:rPr>
          <w:color w:val="auto"/>
          <w:highlight w:val="none"/>
        </w:rPr>
        <w:t>305</w:t>
      </w:r>
      <w:r>
        <w:rPr>
          <w:rFonts w:hint="eastAsia"/>
          <w:color w:val="auto"/>
          <w:highlight w:val="none"/>
        </w:rPr>
        <w:t>）进行对比，则会</w:t>
      </w:r>
      <w:r>
        <w:rPr>
          <w:color w:val="auto"/>
          <w:highlight w:val="none"/>
        </w:rPr>
        <w:t>出现明显</w:t>
      </w:r>
      <w:r>
        <w:rPr>
          <w:rFonts w:hint="eastAsia"/>
          <w:color w:val="auto"/>
          <w:highlight w:val="none"/>
        </w:rPr>
        <w:t>差距。</w:t>
      </w:r>
    </w:p>
    <w:p>
      <w:pPr>
        <w:ind w:firstLine="560"/>
        <w:rPr>
          <w:color w:val="auto"/>
          <w:highlight w:val="none"/>
        </w:rPr>
      </w:pPr>
      <w:r>
        <w:rPr>
          <w:rFonts w:hint="eastAsia"/>
          <w:color w:val="auto"/>
          <w:highlight w:val="none"/>
        </w:rPr>
        <w:t>根据咸宁国家高新技术产业开发区各行业能耗现状分析，结合开发区产业发展趋势，设定各产业能源消费强度控制目标以供</w:t>
      </w:r>
      <w:r>
        <w:rPr>
          <w:color w:val="auto"/>
          <w:highlight w:val="none"/>
        </w:rPr>
        <w:t>参考</w:t>
      </w:r>
      <w:r>
        <w:rPr>
          <w:rFonts w:hint="eastAsia"/>
          <w:color w:val="auto"/>
          <w:highlight w:val="none"/>
        </w:rPr>
        <w:t>，以期实现咸宁国家高新技术产业开发区“双控”目标的顺利完成。</w:t>
      </w:r>
    </w:p>
    <w:p>
      <w:pPr>
        <w:ind w:firstLine="560"/>
        <w:rPr>
          <w:color w:val="auto"/>
          <w:highlight w:val="none"/>
        </w:rPr>
      </w:pPr>
    </w:p>
    <w:p>
      <w:pPr>
        <w:ind w:firstLine="560"/>
        <w:rPr>
          <w:color w:val="auto"/>
          <w:highlight w:val="none"/>
        </w:rPr>
        <w:sectPr>
          <w:pgSz w:w="11906" w:h="16838"/>
          <w:pgMar w:top="1440" w:right="1800" w:bottom="1440" w:left="1800" w:header="850" w:footer="992" w:gutter="0"/>
          <w:cols w:space="425" w:num="1"/>
          <w:docGrid w:type="lines" w:linePitch="381" w:charSpace="0"/>
        </w:sectPr>
      </w:pP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4</w:t>
      </w:r>
      <w:r>
        <w:rPr>
          <w:color w:val="auto"/>
          <w:highlight w:val="none"/>
        </w:rPr>
        <w:fldChar w:fldCharType="end"/>
      </w:r>
      <w:r>
        <w:rPr>
          <w:color w:val="auto"/>
          <w:highlight w:val="none"/>
        </w:rPr>
        <w:t xml:space="preserve"> </w:t>
      </w:r>
      <w:r>
        <w:rPr>
          <w:rFonts w:hint="eastAsia"/>
          <w:color w:val="auto"/>
          <w:highlight w:val="none"/>
        </w:rPr>
        <w:t>咸宁高新区各产业能源强度控制指标（当量值）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909"/>
        <w:gridCol w:w="1416"/>
        <w:gridCol w:w="5530"/>
        <w:gridCol w:w="2395"/>
        <w:gridCol w:w="1430"/>
        <w:gridCol w:w="2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序号</w:t>
            </w:r>
          </w:p>
        </w:tc>
        <w:tc>
          <w:tcPr>
            <w:tcW w:w="503"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行业代码</w:t>
            </w:r>
          </w:p>
        </w:tc>
        <w:tc>
          <w:tcPr>
            <w:tcW w:w="196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行业名称</w:t>
            </w:r>
          </w:p>
        </w:tc>
        <w:tc>
          <w:tcPr>
            <w:tcW w:w="851"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20</w:t>
            </w:r>
            <w:r>
              <w:rPr>
                <w:rFonts w:hint="eastAsia"/>
                <w:b/>
                <w:bCs/>
                <w:color w:val="auto"/>
                <w:kern w:val="0"/>
                <w:sz w:val="24"/>
                <w:szCs w:val="24"/>
                <w:highlight w:val="none"/>
                <w:lang w:val="en-US" w:eastAsia="zh-CN"/>
              </w:rPr>
              <w:t>22</w:t>
            </w:r>
            <w:r>
              <w:rPr>
                <w:b/>
                <w:bCs/>
                <w:color w:val="auto"/>
                <w:kern w:val="0"/>
                <w:sz w:val="24"/>
                <w:szCs w:val="24"/>
                <w:highlight w:val="none"/>
              </w:rPr>
              <w:t>年能源强度现状</w:t>
            </w:r>
          </w:p>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（tce/万元）</w:t>
            </w:r>
          </w:p>
        </w:tc>
        <w:tc>
          <w:tcPr>
            <w:tcW w:w="50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下降率</w:t>
            </w:r>
          </w:p>
        </w:tc>
        <w:tc>
          <w:tcPr>
            <w:tcW w:w="850"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202</w:t>
            </w:r>
            <w:r>
              <w:rPr>
                <w:rFonts w:hint="eastAsia"/>
                <w:b/>
                <w:bCs/>
                <w:color w:val="auto"/>
                <w:kern w:val="0"/>
                <w:sz w:val="24"/>
                <w:szCs w:val="24"/>
                <w:highlight w:val="none"/>
                <w:lang w:val="en-US" w:eastAsia="zh-CN"/>
              </w:rPr>
              <w:t>5</w:t>
            </w:r>
            <w:r>
              <w:rPr>
                <w:b/>
                <w:bCs/>
                <w:color w:val="auto"/>
                <w:kern w:val="0"/>
                <w:sz w:val="24"/>
                <w:szCs w:val="24"/>
                <w:highlight w:val="none"/>
              </w:rPr>
              <w:t>年能源强度目标</w:t>
            </w:r>
          </w:p>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B10</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非金属矿采选业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0.0010</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C13</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农副食品加工业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0.0045</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食品制造业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0.0960</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酒、饮料和精制茶制造业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0.0344</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纺织业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0.1341</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0.1207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C18</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纺织服装、服饰业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0.0158</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木材加工和木、竹、藤、棕、草制品业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0.0151</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C21</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家具制造业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0.0493</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0.0443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C22</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造纸和纸制品业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0.5452</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0.4906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C23</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印刷和记录媒介复制业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0.1053</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0.0948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化学原料和化学制品制造业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0.0244</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医药制造业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0.0315</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13</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C29</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橡胶和塑料制品业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0.0032</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非金属矿物制品业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0.7680</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0.6912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15</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金属制品业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0.0291</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通用设备制造业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0.0099</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专用设备制造业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0.0274</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C36</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汽车制造业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0.0356</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19</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C37</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铁路、船舶、航空航天和其他运输设备制造业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0.0302</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20</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电气机械和器材制造业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0.0086</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21</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计算机、通信和其他电子设备制造业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0.0163</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C40</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仪器仪表制造业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0.0099</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D46</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水的生产和供应业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0.1919</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0.1823</w:t>
            </w:r>
          </w:p>
        </w:tc>
      </w:tr>
    </w:tbl>
    <w:p>
      <w:pPr>
        <w:ind w:firstLine="0" w:firstLineChars="0"/>
        <w:rPr>
          <w:color w:val="auto"/>
          <w:sz w:val="21"/>
          <w:highlight w:val="none"/>
        </w:rPr>
      </w:pPr>
      <w:r>
        <w:rPr>
          <w:rFonts w:hint="eastAsia"/>
          <w:color w:val="auto"/>
          <w:sz w:val="21"/>
          <w:highlight w:val="none"/>
        </w:rPr>
        <w:t>注</w:t>
      </w:r>
      <w:r>
        <w:rPr>
          <w:color w:val="auto"/>
          <w:sz w:val="21"/>
          <w:highlight w:val="none"/>
        </w:rPr>
        <w:t>：上表</w:t>
      </w:r>
      <w:r>
        <w:rPr>
          <w:rFonts w:hint="eastAsia"/>
          <w:color w:val="auto"/>
          <w:sz w:val="21"/>
          <w:highlight w:val="none"/>
        </w:rPr>
        <w:t>目标</w:t>
      </w:r>
      <w:r>
        <w:rPr>
          <w:color w:val="auto"/>
          <w:sz w:val="21"/>
          <w:highlight w:val="none"/>
        </w:rPr>
        <w:t>仅</w:t>
      </w:r>
      <w:r>
        <w:rPr>
          <w:rFonts w:hint="eastAsia"/>
          <w:color w:val="auto"/>
          <w:sz w:val="21"/>
          <w:highlight w:val="none"/>
        </w:rPr>
        <w:t>供</w:t>
      </w:r>
      <w:r>
        <w:rPr>
          <w:color w:val="auto"/>
          <w:sz w:val="21"/>
          <w:highlight w:val="none"/>
        </w:rPr>
        <w:t>参考</w:t>
      </w:r>
    </w:p>
    <w:p>
      <w:pPr>
        <w:ind w:firstLine="0" w:firstLineChars="0"/>
        <w:rPr>
          <w:color w:val="auto"/>
          <w:highlight w:val="none"/>
        </w:rPr>
      </w:pPr>
    </w:p>
    <w:p>
      <w:pPr>
        <w:ind w:firstLine="0" w:firstLineChars="0"/>
        <w:rPr>
          <w:color w:val="auto"/>
          <w:highlight w:val="none"/>
        </w:rPr>
        <w:sectPr>
          <w:pgSz w:w="16838" w:h="11906" w:orient="landscape"/>
          <w:pgMar w:top="1800" w:right="1440" w:bottom="1800" w:left="1440" w:header="850" w:footer="992" w:gutter="0"/>
          <w:cols w:space="425" w:num="1"/>
          <w:docGrid w:type="lines" w:linePitch="381" w:charSpace="0"/>
        </w:sectPr>
      </w:pPr>
    </w:p>
    <w:p>
      <w:pPr>
        <w:pStyle w:val="3"/>
        <w:numPr>
          <w:ilvl w:val="1"/>
          <w:numId w:val="2"/>
        </w:numPr>
        <w:ind w:left="567" w:hanging="567"/>
        <w:rPr>
          <w:color w:val="auto"/>
          <w:highlight w:val="none"/>
        </w:rPr>
      </w:pPr>
      <w:bookmarkStart w:id="45" w:name="_Toc20880"/>
      <w:r>
        <w:rPr>
          <w:rFonts w:hint="eastAsia"/>
          <w:color w:val="auto"/>
          <w:highlight w:val="none"/>
        </w:rPr>
        <w:t>区域主要</w:t>
      </w:r>
      <w:r>
        <w:rPr>
          <w:color w:val="auto"/>
          <w:highlight w:val="none"/>
        </w:rPr>
        <w:t>行业</w:t>
      </w:r>
      <w:r>
        <w:rPr>
          <w:rFonts w:hint="eastAsia"/>
          <w:color w:val="auto"/>
          <w:highlight w:val="none"/>
        </w:rPr>
        <w:t>物理</w:t>
      </w:r>
      <w:r>
        <w:rPr>
          <w:color w:val="auto"/>
          <w:highlight w:val="none"/>
        </w:rPr>
        <w:t>能效指标</w:t>
      </w:r>
      <w:r>
        <w:rPr>
          <w:rFonts w:hint="eastAsia"/>
          <w:color w:val="auto"/>
          <w:highlight w:val="none"/>
        </w:rPr>
        <w:t>评价</w:t>
      </w:r>
      <w:bookmarkEnd w:id="45"/>
    </w:p>
    <w:p>
      <w:pPr>
        <w:ind w:firstLine="560"/>
        <w:rPr>
          <w:color w:val="auto"/>
          <w:highlight w:val="none"/>
        </w:rPr>
      </w:pPr>
      <w:r>
        <w:rPr>
          <w:rFonts w:hint="eastAsia"/>
          <w:color w:val="auto"/>
          <w:highlight w:val="none"/>
        </w:rPr>
        <w:t>目前</w:t>
      </w:r>
      <w:r>
        <w:rPr>
          <w:color w:val="auto"/>
          <w:highlight w:val="none"/>
        </w:rPr>
        <w:t>，</w:t>
      </w:r>
      <w:r>
        <w:rPr>
          <w:rFonts w:hint="eastAsia"/>
          <w:color w:val="auto"/>
          <w:highlight w:val="none"/>
        </w:rPr>
        <w:t>咸宁高新区内多数企业产品</w:t>
      </w:r>
      <w:r>
        <w:rPr>
          <w:color w:val="auto"/>
          <w:highlight w:val="none"/>
        </w:rPr>
        <w:t>尚无相关的单位产品能耗限额标准，</w:t>
      </w:r>
      <w:r>
        <w:rPr>
          <w:rFonts w:hint="eastAsia"/>
          <w:color w:val="auto"/>
          <w:highlight w:val="none"/>
        </w:rPr>
        <w:t>结合《上海产业能效指南（20</w:t>
      </w:r>
      <w:r>
        <w:rPr>
          <w:rFonts w:hint="eastAsia"/>
          <w:color w:val="auto"/>
          <w:highlight w:val="none"/>
          <w:lang w:val="en-US" w:eastAsia="zh-CN"/>
        </w:rPr>
        <w:t>21</w:t>
      </w:r>
      <w:r>
        <w:rPr>
          <w:rFonts w:hint="eastAsia"/>
          <w:color w:val="auto"/>
          <w:highlight w:val="none"/>
        </w:rPr>
        <w:t>年版）》、《全国工业能效指南（2014年版）》及</w:t>
      </w:r>
      <w:r>
        <w:rPr>
          <w:color w:val="auto"/>
          <w:highlight w:val="none"/>
        </w:rPr>
        <w:t>国家和地方</w:t>
      </w:r>
      <w:r>
        <w:rPr>
          <w:rFonts w:hint="eastAsia"/>
          <w:color w:val="auto"/>
          <w:highlight w:val="none"/>
        </w:rPr>
        <w:t>已颁布实施的强制性能耗标准，主要针对咸宁</w:t>
      </w:r>
      <w:r>
        <w:rPr>
          <w:color w:val="auto"/>
          <w:highlight w:val="none"/>
        </w:rPr>
        <w:t>高新区</w:t>
      </w:r>
      <w:r>
        <w:rPr>
          <w:rFonts w:hint="eastAsia"/>
          <w:color w:val="auto"/>
          <w:highlight w:val="none"/>
        </w:rPr>
        <w:t>玻璃及</w:t>
      </w:r>
      <w:r>
        <w:rPr>
          <w:color w:val="auto"/>
          <w:highlight w:val="none"/>
        </w:rPr>
        <w:t>饮料制造</w:t>
      </w:r>
      <w:r>
        <w:rPr>
          <w:rFonts w:hint="eastAsia"/>
          <w:color w:val="auto"/>
          <w:highlight w:val="none"/>
        </w:rPr>
        <w:t>两大</w:t>
      </w:r>
      <w:r>
        <w:rPr>
          <w:color w:val="auto"/>
          <w:highlight w:val="none"/>
        </w:rPr>
        <w:t>主要耗能</w:t>
      </w:r>
      <w:r>
        <w:rPr>
          <w:rFonts w:hint="eastAsia"/>
          <w:color w:val="auto"/>
          <w:highlight w:val="none"/>
        </w:rPr>
        <w:t>行业的物理能效指标进行分析评价。</w:t>
      </w:r>
    </w:p>
    <w:p>
      <w:pPr>
        <w:pStyle w:val="4"/>
        <w:numPr>
          <w:ilvl w:val="2"/>
          <w:numId w:val="2"/>
        </w:numPr>
        <w:ind w:left="709" w:hanging="709"/>
        <w:rPr>
          <w:color w:val="auto"/>
          <w:highlight w:val="none"/>
        </w:rPr>
      </w:pPr>
      <w:bookmarkStart w:id="46" w:name="_Toc11990"/>
      <w:r>
        <w:rPr>
          <w:rFonts w:hint="eastAsia"/>
          <w:color w:val="auto"/>
          <w:highlight w:val="none"/>
        </w:rPr>
        <w:t>玻璃制造</w:t>
      </w:r>
      <w:bookmarkEnd w:id="46"/>
    </w:p>
    <w:p>
      <w:pPr>
        <w:ind w:firstLine="560"/>
        <w:rPr>
          <w:color w:val="auto"/>
          <w:highlight w:val="none"/>
        </w:rPr>
      </w:pPr>
      <w:r>
        <w:rPr>
          <w:rFonts w:hint="eastAsia"/>
          <w:color w:val="auto"/>
          <w:highlight w:val="none"/>
        </w:rPr>
        <w:t>区内</w:t>
      </w:r>
      <w:r>
        <w:rPr>
          <w:color w:val="auto"/>
          <w:highlight w:val="none"/>
        </w:rPr>
        <w:t>玻璃</w:t>
      </w:r>
      <w:r>
        <w:rPr>
          <w:rFonts w:hint="eastAsia"/>
          <w:color w:val="auto"/>
          <w:highlight w:val="none"/>
        </w:rPr>
        <w:t>制造</w:t>
      </w:r>
      <w:r>
        <w:rPr>
          <w:color w:val="auto"/>
          <w:highlight w:val="none"/>
        </w:rPr>
        <w:t>企业主要为</w:t>
      </w:r>
      <w:r>
        <w:rPr>
          <w:rFonts w:hint="eastAsia"/>
          <w:color w:val="auto"/>
          <w:highlight w:val="none"/>
        </w:rPr>
        <w:t>咸宁南玻光电玻璃有限公司、咸宁南玻玻璃有限公司、咸宁南玻节能玻璃有限公司三家</w:t>
      </w:r>
      <w:r>
        <w:rPr>
          <w:color w:val="auto"/>
          <w:highlight w:val="none"/>
        </w:rPr>
        <w:t>企业。</w:t>
      </w:r>
    </w:p>
    <w:p>
      <w:pPr>
        <w:ind w:firstLine="560"/>
        <w:rPr>
          <w:color w:val="auto"/>
          <w:highlight w:val="none"/>
        </w:rPr>
      </w:pPr>
      <w:r>
        <w:rPr>
          <w:rFonts w:hint="eastAsia"/>
          <w:color w:val="auto"/>
          <w:highlight w:val="none"/>
        </w:rPr>
        <w:t>根据《玻璃和铸石单位产品能源消耗限额》（GB</w:t>
      </w:r>
      <w:r>
        <w:rPr>
          <w:color w:val="auto"/>
          <w:highlight w:val="none"/>
        </w:rPr>
        <w:t xml:space="preserve"> 21340</w:t>
      </w:r>
      <w:r>
        <w:rPr>
          <w:rFonts w:hint="eastAsia"/>
          <w:color w:val="auto"/>
          <w:highlight w:val="none"/>
        </w:rPr>
        <w:t>-</w:t>
      </w:r>
      <w:r>
        <w:rPr>
          <w:color w:val="auto"/>
          <w:highlight w:val="none"/>
        </w:rPr>
        <w:t>2019</w:t>
      </w:r>
      <w:r>
        <w:rPr>
          <w:rFonts w:hint="eastAsia"/>
          <w:color w:val="auto"/>
          <w:highlight w:val="none"/>
        </w:rPr>
        <w:t>），区内玻璃生产主要产品能耗限额标准如下表所示：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5</w:t>
      </w:r>
      <w:r>
        <w:rPr>
          <w:color w:val="auto"/>
          <w:highlight w:val="none"/>
        </w:rPr>
        <w:fldChar w:fldCharType="end"/>
      </w:r>
      <w:r>
        <w:rPr>
          <w:color w:val="auto"/>
          <w:highlight w:val="none"/>
        </w:rPr>
        <w:t xml:space="preserve"> </w:t>
      </w:r>
      <w:r>
        <w:rPr>
          <w:rFonts w:hint="eastAsia"/>
          <w:color w:val="auto"/>
          <w:highlight w:val="none"/>
        </w:rPr>
        <w:t>平板玻璃单位</w:t>
      </w:r>
      <w:r>
        <w:rPr>
          <w:color w:val="auto"/>
          <w:highlight w:val="none"/>
        </w:rPr>
        <w:t>产品能耗</w:t>
      </w:r>
      <w:r>
        <w:rPr>
          <w:rFonts w:hint="eastAsia"/>
          <w:color w:val="auto"/>
          <w:highlight w:val="none"/>
        </w:rPr>
        <w:t>限额等级</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042"/>
        <w:gridCol w:w="3189"/>
        <w:gridCol w:w="3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Align w:val="center"/>
          </w:tcPr>
          <w:p>
            <w:pPr>
              <w:spacing w:line="240" w:lineRule="auto"/>
              <w:ind w:firstLine="0" w:firstLineChars="0"/>
              <w:jc w:val="center"/>
              <w:rPr>
                <w:b/>
                <w:color w:val="auto"/>
                <w:sz w:val="24"/>
                <w:highlight w:val="none"/>
              </w:rPr>
            </w:pPr>
            <w:r>
              <w:rPr>
                <w:rFonts w:hint="eastAsia"/>
                <w:b/>
                <w:color w:val="auto"/>
                <w:sz w:val="24"/>
                <w:highlight w:val="none"/>
              </w:rPr>
              <w:t>能耗</w:t>
            </w:r>
            <w:r>
              <w:rPr>
                <w:b/>
                <w:color w:val="auto"/>
                <w:sz w:val="24"/>
                <w:highlight w:val="none"/>
              </w:rPr>
              <w:t>限额等级</w:t>
            </w:r>
          </w:p>
        </w:tc>
        <w:tc>
          <w:tcPr>
            <w:tcW w:w="3189" w:type="dxa"/>
            <w:vAlign w:val="center"/>
          </w:tcPr>
          <w:p>
            <w:pPr>
              <w:spacing w:line="240" w:lineRule="auto"/>
              <w:ind w:firstLine="0" w:firstLineChars="0"/>
              <w:jc w:val="center"/>
              <w:rPr>
                <w:b/>
                <w:color w:val="auto"/>
                <w:sz w:val="24"/>
                <w:highlight w:val="none"/>
              </w:rPr>
            </w:pPr>
            <w:r>
              <w:rPr>
                <w:rFonts w:hint="eastAsia"/>
                <w:b/>
                <w:color w:val="auto"/>
                <w:sz w:val="24"/>
                <w:highlight w:val="none"/>
              </w:rPr>
              <w:t>生产线</w:t>
            </w:r>
            <w:r>
              <w:rPr>
                <w:b/>
                <w:color w:val="auto"/>
                <w:sz w:val="24"/>
                <w:highlight w:val="none"/>
              </w:rPr>
              <w:t>设计生产能力</w:t>
            </w:r>
          </w:p>
          <w:p>
            <w:pPr>
              <w:spacing w:line="240" w:lineRule="auto"/>
              <w:ind w:firstLine="0" w:firstLineChars="0"/>
              <w:jc w:val="center"/>
              <w:rPr>
                <w:b/>
                <w:color w:val="auto"/>
                <w:sz w:val="24"/>
                <w:highlight w:val="none"/>
              </w:rPr>
            </w:pPr>
            <w:r>
              <w:rPr>
                <w:b/>
                <w:color w:val="auto"/>
                <w:sz w:val="24"/>
                <w:highlight w:val="none"/>
              </w:rPr>
              <w:t>t/d</w:t>
            </w:r>
          </w:p>
        </w:tc>
        <w:tc>
          <w:tcPr>
            <w:tcW w:w="3189" w:type="dxa"/>
            <w:vAlign w:val="center"/>
          </w:tcPr>
          <w:p>
            <w:pPr>
              <w:spacing w:line="240" w:lineRule="auto"/>
              <w:ind w:firstLine="0" w:firstLineChars="0"/>
              <w:jc w:val="center"/>
              <w:rPr>
                <w:b/>
                <w:color w:val="auto"/>
                <w:sz w:val="24"/>
                <w:highlight w:val="none"/>
              </w:rPr>
            </w:pPr>
            <w:r>
              <w:rPr>
                <w:rFonts w:hint="eastAsia"/>
                <w:b/>
                <w:color w:val="auto"/>
                <w:sz w:val="24"/>
                <w:highlight w:val="none"/>
              </w:rPr>
              <w:t>单位产品</w:t>
            </w:r>
            <w:r>
              <w:rPr>
                <w:b/>
                <w:color w:val="auto"/>
                <w:sz w:val="24"/>
                <w:highlight w:val="none"/>
              </w:rPr>
              <w:t>能耗限定值</w:t>
            </w:r>
          </w:p>
          <w:p>
            <w:pPr>
              <w:spacing w:line="240" w:lineRule="auto"/>
              <w:ind w:firstLine="0" w:firstLineChars="0"/>
              <w:jc w:val="center"/>
              <w:rPr>
                <w:b/>
                <w:color w:val="auto"/>
                <w:sz w:val="24"/>
                <w:highlight w:val="none"/>
              </w:rPr>
            </w:pPr>
            <w:r>
              <w:rPr>
                <w:b/>
                <w:color w:val="auto"/>
                <w:sz w:val="24"/>
                <w:highlight w:val="none"/>
              </w:rPr>
              <w:t>kgce/</w:t>
            </w:r>
            <w:r>
              <w:rPr>
                <w:rFonts w:hint="eastAsia"/>
                <w:b/>
                <w:color w:val="auto"/>
                <w:sz w:val="24"/>
                <w:highlight w:val="none"/>
              </w:rPr>
              <w:t>重量</w:t>
            </w:r>
            <w:r>
              <w:rPr>
                <w:b/>
                <w:color w:val="auto"/>
                <w:sz w:val="24"/>
                <w:highlight w:val="none"/>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1</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≥500</w:t>
            </w:r>
          </w:p>
          <w:p>
            <w:pPr>
              <w:spacing w:line="240" w:lineRule="auto"/>
              <w:ind w:firstLine="0" w:firstLineChars="0"/>
              <w:jc w:val="center"/>
              <w:rPr>
                <w:color w:val="auto"/>
                <w:sz w:val="24"/>
                <w:highlight w:val="none"/>
              </w:rPr>
            </w:pPr>
            <w:r>
              <w:rPr>
                <w:rFonts w:asciiTheme="minorEastAsia" w:hAnsiTheme="minorEastAsia" w:eastAsiaTheme="minorEastAsia"/>
                <w:color w:val="auto"/>
                <w:sz w:val="24"/>
                <w:highlight w:val="none"/>
              </w:rPr>
              <w:t>≤</w:t>
            </w:r>
            <w:r>
              <w:rPr>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continue"/>
            <w:vAlign w:val="center"/>
          </w:tcPr>
          <w:p>
            <w:pPr>
              <w:spacing w:line="240" w:lineRule="auto"/>
              <w:ind w:firstLine="0" w:firstLineChars="0"/>
              <w:jc w:val="center"/>
              <w:rPr>
                <w:color w:val="auto"/>
                <w:sz w:val="24"/>
                <w:highlight w:val="none"/>
              </w:rPr>
            </w:pP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2</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≥500</w:t>
            </w:r>
          </w:p>
          <w:p>
            <w:pPr>
              <w:spacing w:line="240" w:lineRule="auto"/>
              <w:ind w:firstLine="0" w:firstLineChars="0"/>
              <w:jc w:val="center"/>
              <w:rPr>
                <w:color w:val="auto"/>
                <w:sz w:val="24"/>
                <w:highlight w:val="none"/>
              </w:rPr>
            </w:pPr>
            <w:r>
              <w:rPr>
                <w:rFonts w:asciiTheme="minorEastAsia" w:hAnsiTheme="minorEastAsia" w:eastAsiaTheme="minorEastAsia"/>
                <w:color w:val="auto"/>
                <w:sz w:val="24"/>
                <w:highlight w:val="none"/>
              </w:rPr>
              <w:t>≤</w:t>
            </w:r>
            <w:r>
              <w:rPr>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11.</w:t>
            </w:r>
            <w:r>
              <w:rPr>
                <w:color w:val="auto"/>
                <w:sz w:val="24"/>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continue"/>
            <w:vAlign w:val="center"/>
          </w:tcPr>
          <w:p>
            <w:pPr>
              <w:spacing w:line="240" w:lineRule="auto"/>
              <w:ind w:firstLine="0" w:firstLineChars="0"/>
              <w:jc w:val="center"/>
              <w:rPr>
                <w:color w:val="auto"/>
                <w:sz w:val="24"/>
                <w:highlight w:val="none"/>
              </w:rPr>
            </w:pP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0</w:t>
            </w:r>
            <w:r>
              <w:rPr>
                <w:rFonts w:hint="eastAsia"/>
                <w:color w:val="auto"/>
                <w:sz w:val="24"/>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3</w:t>
            </w:r>
          </w:p>
        </w:tc>
        <w:tc>
          <w:tcPr>
            <w:tcW w:w="3189" w:type="dxa"/>
            <w:vAlign w:val="center"/>
          </w:tcPr>
          <w:p>
            <w:pPr>
              <w:spacing w:line="240" w:lineRule="auto"/>
              <w:ind w:firstLine="0" w:firstLineChars="0"/>
              <w:jc w:val="center"/>
              <w:rPr>
                <w:color w:val="auto"/>
                <w:sz w:val="24"/>
                <w:highlight w:val="none"/>
              </w:rPr>
            </w:pPr>
            <w:r>
              <w:rPr>
                <w:rFonts w:asciiTheme="minorEastAsia" w:hAnsiTheme="minorEastAsia" w:eastAsiaTheme="minorEastAsia"/>
                <w:color w:val="auto"/>
                <w:sz w:val="24"/>
                <w:highlight w:val="none"/>
              </w:rPr>
              <w:t>≤</w:t>
            </w:r>
            <w:r>
              <w:rPr>
                <w:color w:val="auto"/>
                <w:sz w:val="24"/>
                <w:highlight w:val="none"/>
              </w:rPr>
              <w:t>500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continue"/>
            <w:vAlign w:val="center"/>
          </w:tcPr>
          <w:p>
            <w:pPr>
              <w:spacing w:line="240" w:lineRule="auto"/>
              <w:ind w:firstLine="0" w:firstLineChars="0"/>
              <w:jc w:val="center"/>
              <w:rPr>
                <w:color w:val="auto"/>
                <w:sz w:val="24"/>
                <w:highlight w:val="none"/>
              </w:rPr>
            </w:pP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＞500</w:t>
            </w:r>
          </w:p>
          <w:p>
            <w:pPr>
              <w:spacing w:line="240" w:lineRule="auto"/>
              <w:ind w:firstLine="0" w:firstLineChars="0"/>
              <w:jc w:val="center"/>
              <w:rPr>
                <w:color w:val="auto"/>
                <w:sz w:val="24"/>
                <w:highlight w:val="none"/>
              </w:rPr>
            </w:pPr>
            <w:r>
              <w:rPr>
                <w:rFonts w:asciiTheme="minorEastAsia" w:hAnsiTheme="minorEastAsia" w:eastAsiaTheme="minorEastAsia"/>
                <w:color w:val="auto"/>
                <w:sz w:val="24"/>
                <w:highlight w:val="none"/>
              </w:rPr>
              <w:t>≤</w:t>
            </w:r>
            <w:r>
              <w:rPr>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continue"/>
            <w:vAlign w:val="center"/>
          </w:tcPr>
          <w:p>
            <w:pPr>
              <w:spacing w:line="240" w:lineRule="auto"/>
              <w:ind w:firstLine="0" w:firstLineChars="0"/>
              <w:jc w:val="center"/>
              <w:rPr>
                <w:color w:val="auto"/>
                <w:sz w:val="24"/>
                <w:highlight w:val="none"/>
              </w:rPr>
            </w:pP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12.0</w:t>
            </w:r>
          </w:p>
        </w:tc>
      </w:tr>
    </w:tbl>
    <w:p>
      <w:pPr>
        <w:spacing w:after="190" w:afterLines="50" w:line="240" w:lineRule="auto"/>
        <w:ind w:firstLine="0" w:firstLineChars="0"/>
        <w:rPr>
          <w:color w:val="auto"/>
          <w:sz w:val="21"/>
          <w:highlight w:val="none"/>
        </w:rPr>
      </w:pPr>
      <w:r>
        <w:rPr>
          <w:rFonts w:hint="eastAsia"/>
          <w:color w:val="auto"/>
          <w:sz w:val="21"/>
          <w:highlight w:val="none"/>
        </w:rPr>
        <w:t>注：</w:t>
      </w:r>
      <w:r>
        <w:rPr>
          <w:color w:val="auto"/>
          <w:sz w:val="21"/>
          <w:highlight w:val="none"/>
        </w:rPr>
        <w:t>表中</w:t>
      </w:r>
      <w:r>
        <w:rPr>
          <w:rFonts w:hint="eastAsia"/>
          <w:color w:val="auto"/>
          <w:sz w:val="21"/>
          <w:highlight w:val="none"/>
        </w:rPr>
        <w:t>500</w:t>
      </w:r>
      <w:r>
        <w:rPr>
          <w:color w:val="auto"/>
          <w:sz w:val="21"/>
          <w:highlight w:val="none"/>
        </w:rPr>
        <w:t>t/d、</w:t>
      </w:r>
      <w:r>
        <w:rPr>
          <w:rFonts w:hint="eastAsia"/>
          <w:color w:val="auto"/>
          <w:sz w:val="21"/>
          <w:highlight w:val="none"/>
        </w:rPr>
        <w:t>800</w:t>
      </w:r>
      <w:r>
        <w:rPr>
          <w:color w:val="auto"/>
          <w:sz w:val="21"/>
          <w:highlight w:val="none"/>
        </w:rPr>
        <w:t>t/d指</w:t>
      </w:r>
      <w:r>
        <w:rPr>
          <w:rFonts w:hint="eastAsia"/>
          <w:color w:val="auto"/>
          <w:sz w:val="21"/>
          <w:highlight w:val="none"/>
        </w:rPr>
        <w:t>熔</w:t>
      </w:r>
      <w:r>
        <w:rPr>
          <w:color w:val="auto"/>
          <w:sz w:val="21"/>
          <w:highlight w:val="none"/>
        </w:rPr>
        <w:t>窑</w:t>
      </w:r>
      <w:r>
        <w:rPr>
          <w:rFonts w:hint="eastAsia"/>
          <w:color w:val="auto"/>
          <w:sz w:val="21"/>
          <w:highlight w:val="none"/>
        </w:rPr>
        <w:t>设计</w:t>
      </w:r>
      <w:r>
        <w:rPr>
          <w:color w:val="auto"/>
          <w:sz w:val="21"/>
          <w:highlight w:val="none"/>
        </w:rPr>
        <w:t>日</w:t>
      </w:r>
      <w:r>
        <w:rPr>
          <w:rFonts w:hint="eastAsia"/>
          <w:color w:val="auto"/>
          <w:sz w:val="21"/>
          <w:highlight w:val="none"/>
        </w:rPr>
        <w:t>熔化</w:t>
      </w:r>
      <w:r>
        <w:rPr>
          <w:color w:val="auto"/>
          <w:sz w:val="21"/>
          <w:highlight w:val="none"/>
        </w:rPr>
        <w:t>玻璃液</w:t>
      </w:r>
      <w:r>
        <w:rPr>
          <w:rFonts w:hint="eastAsia"/>
          <w:color w:val="auto"/>
          <w:sz w:val="21"/>
          <w:highlight w:val="none"/>
        </w:rPr>
        <w:t>量</w:t>
      </w:r>
      <w:r>
        <w:rPr>
          <w:color w:val="auto"/>
          <w:sz w:val="21"/>
          <w:highlight w:val="none"/>
        </w:rPr>
        <w:t>（</w:t>
      </w:r>
      <w:r>
        <w:rPr>
          <w:rFonts w:hint="eastAsia"/>
          <w:color w:val="auto"/>
          <w:sz w:val="21"/>
          <w:highlight w:val="none"/>
        </w:rPr>
        <w:t>不</w:t>
      </w:r>
      <w:r>
        <w:rPr>
          <w:color w:val="auto"/>
          <w:sz w:val="21"/>
          <w:highlight w:val="none"/>
        </w:rPr>
        <w:t>包括全氧</w:t>
      </w:r>
      <w:r>
        <w:rPr>
          <w:rFonts w:hint="eastAsia"/>
          <w:color w:val="auto"/>
          <w:sz w:val="21"/>
          <w:highlight w:val="none"/>
        </w:rPr>
        <w:t>燃烧</w:t>
      </w:r>
      <w:r>
        <w:rPr>
          <w:color w:val="auto"/>
          <w:sz w:val="21"/>
          <w:highlight w:val="none"/>
        </w:rPr>
        <w:t>的玻璃熔窑）</w:t>
      </w:r>
    </w:p>
    <w:p>
      <w:pPr>
        <w:spacing w:after="190" w:afterLines="50" w:line="240" w:lineRule="auto"/>
        <w:ind w:firstLine="0" w:firstLineChars="0"/>
        <w:rPr>
          <w:color w:val="auto"/>
          <w:sz w:val="21"/>
          <w:highlight w:val="none"/>
        </w:rPr>
      </w:pP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6</w:t>
      </w:r>
      <w:r>
        <w:rPr>
          <w:color w:val="auto"/>
          <w:highlight w:val="none"/>
        </w:rPr>
        <w:fldChar w:fldCharType="end"/>
      </w:r>
      <w:r>
        <w:rPr>
          <w:color w:val="auto"/>
          <w:highlight w:val="none"/>
        </w:rPr>
        <w:t xml:space="preserve"> </w:t>
      </w:r>
      <w:r>
        <w:rPr>
          <w:rFonts w:hint="eastAsia"/>
          <w:color w:val="auto"/>
          <w:highlight w:val="none"/>
        </w:rPr>
        <w:t>钢化玻璃单位产品能耗限额等级</w:t>
      </w:r>
    </w:p>
    <w:tbl>
      <w:tblPr>
        <w:tblStyle w:val="29"/>
        <w:tblW w:w="84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71"/>
        <w:gridCol w:w="1305"/>
        <w:gridCol w:w="718"/>
        <w:gridCol w:w="718"/>
        <w:gridCol w:w="718"/>
        <w:gridCol w:w="718"/>
        <w:gridCol w:w="718"/>
        <w:gridCol w:w="718"/>
        <w:gridCol w:w="718"/>
        <w:gridCol w:w="718"/>
        <w:gridCol w:w="647"/>
        <w:gridCol w:w="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71" w:type="dxa"/>
          <w:trHeight w:val="454" w:hRule="atLeast"/>
        </w:trPr>
        <w:tc>
          <w:tcPr>
            <w:tcW w:w="671" w:type="dxa"/>
            <w:vMerge w:val="restart"/>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能耗</w:t>
            </w:r>
            <w:r>
              <w:rPr>
                <w:b/>
                <w:color w:val="auto"/>
                <w:sz w:val="24"/>
                <w:szCs w:val="24"/>
                <w:highlight w:val="none"/>
              </w:rPr>
              <w:t>限额等级</w:t>
            </w:r>
          </w:p>
        </w:tc>
        <w:tc>
          <w:tcPr>
            <w:tcW w:w="1305" w:type="dxa"/>
            <w:vMerge w:val="restart"/>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玻璃种类</w:t>
            </w:r>
          </w:p>
        </w:tc>
        <w:tc>
          <w:tcPr>
            <w:tcW w:w="6391" w:type="dxa"/>
            <w:gridSpan w:val="9"/>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单位</w:t>
            </w:r>
            <w:r>
              <w:rPr>
                <w:b/>
                <w:color w:val="auto"/>
                <w:sz w:val="24"/>
                <w:szCs w:val="24"/>
                <w:highlight w:val="none"/>
              </w:rPr>
              <w:t>产品能耗限定值kW·h/m</w:t>
            </w:r>
            <w:r>
              <w:rPr>
                <w:b/>
                <w:color w:val="auto"/>
                <w:sz w:val="24"/>
                <w:szCs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71" w:type="dxa"/>
          <w:trHeight w:val="454" w:hRule="atLeast"/>
        </w:trPr>
        <w:tc>
          <w:tcPr>
            <w:tcW w:w="671" w:type="dxa"/>
            <w:vMerge w:val="continue"/>
            <w:vAlign w:val="center"/>
          </w:tcPr>
          <w:p>
            <w:pPr>
              <w:spacing w:line="240" w:lineRule="auto"/>
              <w:ind w:firstLine="0" w:firstLineChars="0"/>
              <w:jc w:val="center"/>
              <w:rPr>
                <w:b/>
                <w:color w:val="auto"/>
                <w:sz w:val="24"/>
                <w:szCs w:val="24"/>
                <w:highlight w:val="none"/>
              </w:rPr>
            </w:pPr>
          </w:p>
        </w:tc>
        <w:tc>
          <w:tcPr>
            <w:tcW w:w="1305" w:type="dxa"/>
            <w:vMerge w:val="continue"/>
            <w:vAlign w:val="center"/>
          </w:tcPr>
          <w:p>
            <w:pPr>
              <w:spacing w:line="240" w:lineRule="auto"/>
              <w:ind w:firstLine="0" w:firstLineChars="0"/>
              <w:jc w:val="center"/>
              <w:rPr>
                <w:b/>
                <w:color w:val="auto"/>
                <w:sz w:val="24"/>
                <w:szCs w:val="24"/>
                <w:highlight w:val="none"/>
              </w:rPr>
            </w:pPr>
          </w:p>
        </w:tc>
        <w:tc>
          <w:tcPr>
            <w:tcW w:w="6391" w:type="dxa"/>
            <w:gridSpan w:val="9"/>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厚度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b/>
                <w:color w:val="auto"/>
                <w:sz w:val="24"/>
                <w:szCs w:val="24"/>
                <w:highlight w:val="none"/>
              </w:rPr>
            </w:pPr>
          </w:p>
        </w:tc>
        <w:tc>
          <w:tcPr>
            <w:tcW w:w="1305" w:type="dxa"/>
            <w:vMerge w:val="continue"/>
            <w:vAlign w:val="center"/>
          </w:tcPr>
          <w:p>
            <w:pPr>
              <w:spacing w:line="240" w:lineRule="auto"/>
              <w:ind w:firstLine="0" w:firstLineChars="0"/>
              <w:jc w:val="center"/>
              <w:rPr>
                <w:b/>
                <w:color w:val="auto"/>
                <w:sz w:val="24"/>
                <w:szCs w:val="24"/>
                <w:highlight w:val="none"/>
              </w:rPr>
            </w:pPr>
          </w:p>
        </w:tc>
        <w:tc>
          <w:tcPr>
            <w:tcW w:w="718" w:type="dxa"/>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3</w:t>
            </w:r>
            <w:r>
              <w:rPr>
                <w:b/>
                <w:color w:val="auto"/>
                <w:sz w:val="24"/>
                <w:szCs w:val="24"/>
                <w:highlight w:val="none"/>
              </w:rPr>
              <w:t>mm</w:t>
            </w:r>
          </w:p>
        </w:tc>
        <w:tc>
          <w:tcPr>
            <w:tcW w:w="718" w:type="dxa"/>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4</w:t>
            </w:r>
            <w:r>
              <w:rPr>
                <w:b/>
                <w:color w:val="auto"/>
                <w:sz w:val="24"/>
                <w:szCs w:val="24"/>
                <w:highlight w:val="none"/>
              </w:rPr>
              <w:t>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5mm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6mm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8mm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10mm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12mm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15mm</w:t>
            </w:r>
          </w:p>
        </w:tc>
        <w:tc>
          <w:tcPr>
            <w:tcW w:w="718" w:type="dxa"/>
            <w:gridSpan w:val="2"/>
            <w:vAlign w:val="center"/>
          </w:tcPr>
          <w:p>
            <w:pPr>
              <w:spacing w:line="240" w:lineRule="auto"/>
              <w:ind w:firstLine="0" w:firstLineChars="0"/>
              <w:jc w:val="center"/>
              <w:rPr>
                <w:b/>
                <w:color w:val="auto"/>
                <w:sz w:val="24"/>
                <w:szCs w:val="24"/>
                <w:highlight w:val="none"/>
              </w:rPr>
            </w:pPr>
            <w:r>
              <w:rPr>
                <w:b/>
                <w:color w:val="auto"/>
                <w:sz w:val="24"/>
                <w:szCs w:val="24"/>
                <w:highlight w:val="none"/>
              </w:rPr>
              <w:t>19mm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w:t>
            </w: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平面</w:t>
            </w:r>
            <w:r>
              <w:rPr>
                <w:color w:val="auto"/>
                <w:sz w:val="18"/>
                <w:szCs w:val="18"/>
                <w:highlight w:val="none"/>
              </w:rPr>
              <w:t>普通玻璃</w:t>
            </w:r>
          </w:p>
        </w:tc>
        <w:tc>
          <w:tcPr>
            <w:tcW w:w="718" w:type="dxa"/>
            <w:vAlign w:val="center"/>
          </w:tcPr>
          <w:p>
            <w:pPr>
              <w:spacing w:line="240" w:lineRule="auto"/>
              <w:ind w:firstLine="0" w:firstLineChars="0"/>
              <w:jc w:val="center"/>
              <w:rPr>
                <w:color w:val="auto"/>
                <w:sz w:val="24"/>
                <w:szCs w:val="24"/>
                <w:highlight w:val="none"/>
              </w:rPr>
            </w:pPr>
            <w:r>
              <w:rPr>
                <w:color w:val="auto"/>
                <w:sz w:val="24"/>
                <w:szCs w:val="24"/>
                <w:highlight w:val="none"/>
              </w:rPr>
              <w:t>2</w:t>
            </w:r>
            <w:r>
              <w:rPr>
                <w:rFonts w:hint="eastAsia"/>
                <w:color w:val="auto"/>
                <w:sz w:val="24"/>
                <w:szCs w:val="24"/>
                <w:highlight w:val="none"/>
              </w:rPr>
              <w:t>.20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2.30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2.64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3.22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4.00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5.38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5.98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7.18</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平面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2.73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2.85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3.27</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3.99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4.96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6.57</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7.42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8.90</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曲面</w:t>
            </w:r>
            <w:r>
              <w:rPr>
                <w:color w:val="auto"/>
                <w:sz w:val="18"/>
                <w:szCs w:val="18"/>
                <w:highlight w:val="none"/>
              </w:rPr>
              <w:t>普通钢化玻璃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2.88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3.01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3.46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4.22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5.24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7.05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7.83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9.41</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w:t>
            </w:r>
            <w:r>
              <w:rPr>
                <w:color w:val="auto"/>
                <w:sz w:val="24"/>
                <w:szCs w:val="24"/>
                <w:highlight w:val="none"/>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曲面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3.56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3.73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4.28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5.22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6.48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8.72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9.69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11.63</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16.32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w:t>
            </w: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平面</w:t>
            </w:r>
            <w:r>
              <w:rPr>
                <w:color w:val="auto"/>
                <w:sz w:val="18"/>
                <w:szCs w:val="18"/>
                <w:highlight w:val="none"/>
              </w:rPr>
              <w:t>普通玻璃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2.75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2.87</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3.30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4.02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5.00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6.73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7.48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8.98</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平面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3.41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3.56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4.09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4.98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6.20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8.35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9.28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11.14</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曲面</w:t>
            </w:r>
            <w:r>
              <w:rPr>
                <w:color w:val="auto"/>
                <w:sz w:val="18"/>
                <w:szCs w:val="18"/>
                <w:highlight w:val="none"/>
              </w:rPr>
              <w:t>普通钢化玻璃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3.60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3.76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4.32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5.27</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6.55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8.82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9.80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11.76</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曲面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4.46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4.65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5.35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6.51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8.10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10.90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12.12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14.55</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w:t>
            </w:r>
          </w:p>
        </w:tc>
        <w:tc>
          <w:tcPr>
            <w:tcW w:w="1305" w:type="dxa"/>
            <w:vAlign w:val="center"/>
          </w:tcPr>
          <w:p>
            <w:pPr>
              <w:spacing w:line="200" w:lineRule="exact"/>
              <w:ind w:firstLine="0" w:firstLineChars="0"/>
              <w:jc w:val="center"/>
              <w:rPr>
                <w:color w:val="auto"/>
                <w:sz w:val="24"/>
                <w:szCs w:val="24"/>
                <w:highlight w:val="none"/>
              </w:rPr>
            </w:pPr>
            <w:r>
              <w:rPr>
                <w:rFonts w:hint="eastAsia"/>
                <w:color w:val="auto"/>
                <w:sz w:val="18"/>
                <w:szCs w:val="18"/>
                <w:highlight w:val="none"/>
              </w:rPr>
              <w:t>平面</w:t>
            </w:r>
            <w:r>
              <w:rPr>
                <w:color w:val="auto"/>
                <w:sz w:val="18"/>
                <w:szCs w:val="18"/>
                <w:highlight w:val="none"/>
              </w:rPr>
              <w:t>普通玻璃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3.46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3.58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3.98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4.39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5.95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7.43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8.51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10.01</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24"/>
                <w:szCs w:val="24"/>
                <w:highlight w:val="none"/>
              </w:rPr>
            </w:pPr>
            <w:r>
              <w:rPr>
                <w:rFonts w:hint="eastAsia"/>
                <w:color w:val="auto"/>
                <w:sz w:val="18"/>
                <w:szCs w:val="18"/>
                <w:highlight w:val="none"/>
              </w:rPr>
              <w:t>平面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4.29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4.44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4.94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5.44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7.38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9.21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10.55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12.41</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24"/>
                <w:szCs w:val="24"/>
                <w:highlight w:val="none"/>
              </w:rPr>
            </w:pPr>
            <w:r>
              <w:rPr>
                <w:rFonts w:hint="eastAsia"/>
                <w:color w:val="auto"/>
                <w:sz w:val="18"/>
                <w:szCs w:val="18"/>
                <w:highlight w:val="none"/>
              </w:rPr>
              <w:t>曲面</w:t>
            </w:r>
            <w:r>
              <w:rPr>
                <w:color w:val="auto"/>
                <w:sz w:val="18"/>
                <w:szCs w:val="18"/>
                <w:highlight w:val="none"/>
              </w:rPr>
              <w:t>普通钢化玻璃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4.53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4.69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5.21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5.75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7.75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9.73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11.15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13.11</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18.63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24"/>
                <w:szCs w:val="24"/>
                <w:highlight w:val="none"/>
              </w:rPr>
            </w:pPr>
            <w:r>
              <w:rPr>
                <w:rFonts w:hint="eastAsia"/>
                <w:color w:val="auto"/>
                <w:sz w:val="18"/>
                <w:szCs w:val="18"/>
                <w:highlight w:val="none"/>
              </w:rPr>
              <w:t>曲面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5.51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5.80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6.45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7.11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9.64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12.04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13.79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16.22</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23.04</w:t>
            </w:r>
          </w:p>
        </w:tc>
      </w:tr>
    </w:tbl>
    <w:p>
      <w:pPr>
        <w:spacing w:line="240" w:lineRule="auto"/>
        <w:ind w:firstLine="0" w:firstLineChars="0"/>
        <w:rPr>
          <w:color w:val="auto"/>
          <w:highlight w:val="none"/>
        </w:rPr>
      </w:pPr>
    </w:p>
    <w:p>
      <w:pPr>
        <w:ind w:firstLine="560"/>
        <w:rPr>
          <w:color w:val="auto"/>
          <w:highlight w:val="none"/>
        </w:rPr>
      </w:pPr>
      <w:r>
        <w:rPr>
          <w:rFonts w:hint="eastAsia"/>
          <w:color w:val="auto"/>
          <w:highlight w:val="none"/>
        </w:rPr>
        <w:t>根据《绿色产品评价建筑玻璃》（</w:t>
      </w:r>
      <w:r>
        <w:rPr>
          <w:color w:val="auto"/>
          <w:highlight w:val="none"/>
        </w:rPr>
        <w:t>GB/T 35604-2017</w:t>
      </w:r>
      <w:r>
        <w:rPr>
          <w:rFonts w:hint="eastAsia"/>
          <w:color w:val="auto"/>
          <w:highlight w:val="none"/>
        </w:rPr>
        <w:t>），区内玻璃生产主要绿色产品能耗限额指标如下表所示：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7</w:t>
      </w:r>
      <w:r>
        <w:rPr>
          <w:color w:val="auto"/>
          <w:highlight w:val="none"/>
        </w:rPr>
        <w:fldChar w:fldCharType="end"/>
      </w:r>
      <w:r>
        <w:rPr>
          <w:color w:val="auto"/>
          <w:highlight w:val="none"/>
        </w:rPr>
        <w:t xml:space="preserve"> </w:t>
      </w:r>
      <w:r>
        <w:rPr>
          <w:rFonts w:hint="eastAsia"/>
          <w:color w:val="auto"/>
          <w:highlight w:val="none"/>
        </w:rPr>
        <w:t>建筑玻璃绿色评价能耗</w:t>
      </w:r>
      <w:r>
        <w:rPr>
          <w:color w:val="auto"/>
          <w:highlight w:val="none"/>
        </w:rPr>
        <w:t>指标</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4439"/>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b/>
                <w:color w:val="auto"/>
                <w:sz w:val="24"/>
                <w:highlight w:val="none"/>
              </w:rPr>
            </w:pPr>
            <w:r>
              <w:rPr>
                <w:rFonts w:hint="eastAsia"/>
                <w:b/>
                <w:color w:val="auto"/>
                <w:sz w:val="24"/>
                <w:highlight w:val="none"/>
              </w:rPr>
              <w:t>序号</w:t>
            </w:r>
          </w:p>
        </w:tc>
        <w:tc>
          <w:tcPr>
            <w:tcW w:w="4439" w:type="dxa"/>
            <w:vAlign w:val="center"/>
          </w:tcPr>
          <w:p>
            <w:pPr>
              <w:spacing w:line="240" w:lineRule="auto"/>
              <w:ind w:firstLine="0" w:firstLineChars="0"/>
              <w:jc w:val="center"/>
              <w:rPr>
                <w:b/>
                <w:color w:val="auto"/>
                <w:sz w:val="24"/>
                <w:highlight w:val="none"/>
              </w:rPr>
            </w:pPr>
            <w:r>
              <w:rPr>
                <w:rFonts w:hint="eastAsia"/>
                <w:b/>
                <w:color w:val="auto"/>
                <w:sz w:val="24"/>
                <w:highlight w:val="none"/>
              </w:rPr>
              <w:t>产品</w:t>
            </w:r>
            <w:r>
              <w:rPr>
                <w:b/>
                <w:color w:val="auto"/>
                <w:sz w:val="24"/>
                <w:highlight w:val="none"/>
              </w:rPr>
              <w:t>种类</w:t>
            </w:r>
          </w:p>
        </w:tc>
        <w:tc>
          <w:tcPr>
            <w:tcW w:w="2841" w:type="dxa"/>
            <w:vAlign w:val="center"/>
          </w:tcPr>
          <w:p>
            <w:pPr>
              <w:spacing w:line="240" w:lineRule="auto"/>
              <w:ind w:firstLine="0" w:firstLineChars="0"/>
              <w:jc w:val="center"/>
              <w:rPr>
                <w:b/>
                <w:color w:val="auto"/>
                <w:sz w:val="24"/>
                <w:highlight w:val="none"/>
              </w:rPr>
            </w:pPr>
            <w:r>
              <w:rPr>
                <w:rFonts w:hint="eastAsia"/>
                <w:b/>
                <w:color w:val="auto"/>
                <w:sz w:val="24"/>
                <w:highlight w:val="none"/>
              </w:rPr>
              <w:t>能耗指标（</w:t>
            </w:r>
            <w:r>
              <w:rPr>
                <w:b/>
                <w:color w:val="auto"/>
                <w:sz w:val="24"/>
                <w:szCs w:val="24"/>
                <w:highlight w:val="none"/>
              </w:rPr>
              <w:t>kW·h/m</w:t>
            </w:r>
            <w:r>
              <w:rPr>
                <w:b/>
                <w:color w:val="auto"/>
                <w:sz w:val="24"/>
                <w:szCs w:val="24"/>
                <w:highlight w:val="none"/>
                <w:vertAlign w:val="superscript"/>
              </w:rPr>
              <w:t>2</w:t>
            </w:r>
            <w:r>
              <w:rPr>
                <w:rFonts w:hint="eastAsia"/>
                <w:b/>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color w:val="auto"/>
                <w:sz w:val="24"/>
                <w:highlight w:val="none"/>
              </w:rPr>
            </w:pPr>
            <w:r>
              <w:rPr>
                <w:rFonts w:hint="eastAsia"/>
                <w:color w:val="auto"/>
                <w:sz w:val="24"/>
                <w:highlight w:val="none"/>
              </w:rPr>
              <w:t>1</w:t>
            </w:r>
          </w:p>
        </w:tc>
        <w:tc>
          <w:tcPr>
            <w:tcW w:w="4439" w:type="dxa"/>
            <w:vAlign w:val="center"/>
          </w:tcPr>
          <w:p>
            <w:pPr>
              <w:spacing w:line="240" w:lineRule="auto"/>
              <w:ind w:firstLine="0" w:firstLineChars="0"/>
              <w:jc w:val="center"/>
              <w:rPr>
                <w:color w:val="auto"/>
                <w:sz w:val="24"/>
                <w:highlight w:val="none"/>
              </w:rPr>
            </w:pPr>
            <w:r>
              <w:rPr>
                <w:rFonts w:hint="eastAsia"/>
                <w:color w:val="auto"/>
                <w:sz w:val="24"/>
                <w:highlight w:val="none"/>
              </w:rPr>
              <w:t>平面普通玻璃</w:t>
            </w:r>
          </w:p>
        </w:tc>
        <w:tc>
          <w:tcPr>
            <w:tcW w:w="2841" w:type="dxa"/>
            <w:vAlign w:val="center"/>
          </w:tcPr>
          <w:p>
            <w:pPr>
              <w:spacing w:line="240" w:lineRule="auto"/>
              <w:ind w:firstLine="0" w:firstLineChars="0"/>
              <w:jc w:val="center"/>
              <w:rPr>
                <w:color w:val="auto"/>
                <w:sz w:val="24"/>
                <w:highlight w:val="none"/>
              </w:rPr>
            </w:pPr>
            <w:r>
              <w:rPr>
                <w:color w:val="auto"/>
                <w:sz w:val="24"/>
                <w:highlight w:val="none"/>
              </w:rPr>
              <w:t>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color w:val="auto"/>
                <w:sz w:val="24"/>
                <w:highlight w:val="none"/>
              </w:rPr>
            </w:pPr>
            <w:r>
              <w:rPr>
                <w:rFonts w:hint="eastAsia"/>
                <w:color w:val="auto"/>
                <w:sz w:val="24"/>
                <w:highlight w:val="none"/>
              </w:rPr>
              <w:t>2</w:t>
            </w:r>
          </w:p>
        </w:tc>
        <w:tc>
          <w:tcPr>
            <w:tcW w:w="4439" w:type="dxa"/>
            <w:vAlign w:val="center"/>
          </w:tcPr>
          <w:p>
            <w:pPr>
              <w:spacing w:line="240" w:lineRule="auto"/>
              <w:ind w:firstLine="0" w:firstLineChars="0"/>
              <w:jc w:val="center"/>
              <w:rPr>
                <w:color w:val="auto"/>
                <w:sz w:val="24"/>
                <w:highlight w:val="none"/>
              </w:rPr>
            </w:pPr>
            <w:r>
              <w:rPr>
                <w:rFonts w:hint="eastAsia"/>
                <w:color w:val="auto"/>
                <w:sz w:val="24"/>
                <w:highlight w:val="none"/>
              </w:rPr>
              <w:t>平面低辐射镀膜钢化玻璃</w:t>
            </w:r>
          </w:p>
        </w:tc>
        <w:tc>
          <w:tcPr>
            <w:tcW w:w="2841" w:type="dxa"/>
            <w:vAlign w:val="center"/>
          </w:tcPr>
          <w:p>
            <w:pPr>
              <w:spacing w:line="240" w:lineRule="auto"/>
              <w:ind w:firstLine="0" w:firstLineChars="0"/>
              <w:jc w:val="center"/>
              <w:rPr>
                <w:color w:val="auto"/>
                <w:sz w:val="24"/>
                <w:highlight w:val="none"/>
              </w:rPr>
            </w:pPr>
            <w:r>
              <w:rPr>
                <w:color w:val="auto"/>
                <w:sz w:val="24"/>
                <w:highlight w:val="none"/>
              </w:rPr>
              <w:t>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color w:val="auto"/>
                <w:sz w:val="24"/>
                <w:highlight w:val="none"/>
              </w:rPr>
            </w:pPr>
            <w:r>
              <w:rPr>
                <w:rFonts w:hint="eastAsia"/>
                <w:color w:val="auto"/>
                <w:sz w:val="24"/>
                <w:highlight w:val="none"/>
              </w:rPr>
              <w:t>3</w:t>
            </w:r>
          </w:p>
        </w:tc>
        <w:tc>
          <w:tcPr>
            <w:tcW w:w="4439" w:type="dxa"/>
            <w:vAlign w:val="center"/>
          </w:tcPr>
          <w:p>
            <w:pPr>
              <w:spacing w:line="240" w:lineRule="auto"/>
              <w:ind w:firstLine="0" w:firstLineChars="0"/>
              <w:jc w:val="center"/>
              <w:rPr>
                <w:color w:val="auto"/>
                <w:sz w:val="24"/>
                <w:highlight w:val="none"/>
              </w:rPr>
            </w:pPr>
            <w:r>
              <w:rPr>
                <w:rFonts w:hint="eastAsia"/>
                <w:color w:val="auto"/>
                <w:sz w:val="24"/>
                <w:highlight w:val="none"/>
              </w:rPr>
              <w:t>曲面普通钢化玻璃</w:t>
            </w:r>
          </w:p>
        </w:tc>
        <w:tc>
          <w:tcPr>
            <w:tcW w:w="2841" w:type="dxa"/>
            <w:vAlign w:val="center"/>
          </w:tcPr>
          <w:p>
            <w:pPr>
              <w:spacing w:line="240" w:lineRule="auto"/>
              <w:ind w:firstLine="0" w:firstLineChars="0"/>
              <w:jc w:val="center"/>
              <w:rPr>
                <w:color w:val="auto"/>
                <w:sz w:val="24"/>
                <w:highlight w:val="none"/>
              </w:rPr>
            </w:pPr>
            <w:r>
              <w:rPr>
                <w:color w:val="auto"/>
                <w:sz w:val="24"/>
                <w:highlight w:val="none"/>
              </w:rPr>
              <w:t>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color w:val="auto"/>
                <w:sz w:val="24"/>
                <w:highlight w:val="none"/>
              </w:rPr>
            </w:pPr>
            <w:r>
              <w:rPr>
                <w:rFonts w:hint="eastAsia"/>
                <w:color w:val="auto"/>
                <w:sz w:val="24"/>
                <w:highlight w:val="none"/>
              </w:rPr>
              <w:t>4</w:t>
            </w:r>
          </w:p>
        </w:tc>
        <w:tc>
          <w:tcPr>
            <w:tcW w:w="4439" w:type="dxa"/>
            <w:vAlign w:val="center"/>
          </w:tcPr>
          <w:p>
            <w:pPr>
              <w:spacing w:line="240" w:lineRule="auto"/>
              <w:ind w:firstLine="0" w:firstLineChars="0"/>
              <w:jc w:val="center"/>
              <w:rPr>
                <w:color w:val="auto"/>
                <w:sz w:val="24"/>
                <w:highlight w:val="none"/>
              </w:rPr>
            </w:pPr>
            <w:r>
              <w:rPr>
                <w:rFonts w:hint="eastAsia"/>
                <w:color w:val="auto"/>
                <w:sz w:val="24"/>
                <w:highlight w:val="none"/>
              </w:rPr>
              <w:t>曲面低辐射镀膜钢化玻璃</w:t>
            </w:r>
          </w:p>
        </w:tc>
        <w:tc>
          <w:tcPr>
            <w:tcW w:w="2841" w:type="dxa"/>
            <w:vAlign w:val="center"/>
          </w:tcPr>
          <w:p>
            <w:pPr>
              <w:spacing w:line="240" w:lineRule="auto"/>
              <w:ind w:firstLine="0" w:firstLineChars="0"/>
              <w:jc w:val="center"/>
              <w:rPr>
                <w:color w:val="auto"/>
                <w:sz w:val="24"/>
                <w:highlight w:val="none"/>
              </w:rPr>
            </w:pPr>
            <w:r>
              <w:rPr>
                <w:color w:val="auto"/>
                <w:sz w:val="24"/>
                <w:highlight w:val="none"/>
              </w:rPr>
              <w:t>5.22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color w:val="auto"/>
                <w:sz w:val="24"/>
                <w:highlight w:val="none"/>
              </w:rPr>
            </w:pPr>
            <w:r>
              <w:rPr>
                <w:rFonts w:hint="eastAsia"/>
                <w:color w:val="auto"/>
                <w:sz w:val="24"/>
                <w:highlight w:val="none"/>
              </w:rPr>
              <w:t>5</w:t>
            </w:r>
          </w:p>
        </w:tc>
        <w:tc>
          <w:tcPr>
            <w:tcW w:w="4439" w:type="dxa"/>
            <w:vAlign w:val="center"/>
          </w:tcPr>
          <w:p>
            <w:pPr>
              <w:spacing w:line="240" w:lineRule="auto"/>
              <w:ind w:firstLine="0" w:firstLineChars="0"/>
              <w:jc w:val="center"/>
              <w:rPr>
                <w:color w:val="auto"/>
                <w:sz w:val="24"/>
                <w:highlight w:val="none"/>
              </w:rPr>
            </w:pPr>
            <w:r>
              <w:rPr>
                <w:rFonts w:hint="eastAsia"/>
                <w:color w:val="auto"/>
                <w:sz w:val="24"/>
                <w:highlight w:val="none"/>
              </w:rPr>
              <w:t>夹层</w:t>
            </w:r>
            <w:r>
              <w:rPr>
                <w:color w:val="auto"/>
                <w:sz w:val="24"/>
                <w:highlight w:val="none"/>
              </w:rPr>
              <w:t>玻璃</w:t>
            </w:r>
          </w:p>
        </w:tc>
        <w:tc>
          <w:tcPr>
            <w:tcW w:w="2841" w:type="dxa"/>
            <w:vAlign w:val="center"/>
          </w:tcPr>
          <w:p>
            <w:pPr>
              <w:spacing w:line="240" w:lineRule="auto"/>
              <w:ind w:firstLine="0" w:firstLineChars="0"/>
              <w:jc w:val="center"/>
              <w:rPr>
                <w:color w:val="auto"/>
                <w:sz w:val="24"/>
                <w:highlight w:val="none"/>
              </w:rPr>
            </w:pPr>
            <w:r>
              <w:rPr>
                <w:rFonts w:hint="eastAsia"/>
                <w:color w:val="auto"/>
                <w:sz w:val="24"/>
                <w:highlight w:val="none"/>
              </w:rPr>
              <w:t>4.00</w:t>
            </w:r>
          </w:p>
        </w:tc>
      </w:tr>
    </w:tbl>
    <w:p>
      <w:pPr>
        <w:spacing w:line="240" w:lineRule="auto"/>
        <w:ind w:firstLine="0" w:firstLineChars="0"/>
        <w:rPr>
          <w:color w:val="auto"/>
          <w:sz w:val="21"/>
          <w:highlight w:val="none"/>
        </w:rPr>
      </w:pPr>
    </w:p>
    <w:p>
      <w:pPr>
        <w:ind w:firstLine="560"/>
        <w:rPr>
          <w:color w:val="auto"/>
          <w:highlight w:val="none"/>
        </w:rPr>
      </w:pPr>
      <w:r>
        <w:rPr>
          <w:rFonts w:hint="eastAsia"/>
          <w:color w:val="auto"/>
          <w:highlight w:val="none"/>
        </w:rPr>
        <w:t>近年来，咸宁南玻玻璃有限公司两条日熔化量700t/d的浮法玻璃生产线能耗一直处于或接近国内先进水平，近年单位产品能耗情况如下表所示：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8</w:t>
      </w:r>
      <w:r>
        <w:rPr>
          <w:color w:val="auto"/>
          <w:highlight w:val="none"/>
        </w:rPr>
        <w:fldChar w:fldCharType="end"/>
      </w:r>
      <w:r>
        <w:rPr>
          <w:color w:val="auto"/>
          <w:highlight w:val="none"/>
        </w:rPr>
        <w:t xml:space="preserve"> </w:t>
      </w:r>
      <w:r>
        <w:rPr>
          <w:rFonts w:hint="eastAsia"/>
          <w:color w:val="auto"/>
          <w:highlight w:val="none"/>
        </w:rPr>
        <w:t>近年咸宁南玻玻璃有限公司单位产品能耗（kgce/重量箱）</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519"/>
        <w:gridCol w:w="1965"/>
        <w:gridCol w:w="1967"/>
        <w:gridCol w:w="1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496" w:type="pct"/>
            <w:tcBorders>
              <w:tl2br w:val="single" w:color="auto" w:sz="4" w:space="0"/>
            </w:tcBorders>
            <w:vAlign w:val="center"/>
          </w:tcPr>
          <w:p>
            <w:pPr>
              <w:spacing w:line="240" w:lineRule="auto"/>
              <w:ind w:firstLine="0" w:firstLineChars="0"/>
              <w:jc w:val="right"/>
              <w:rPr>
                <w:b/>
                <w:color w:val="auto"/>
                <w:sz w:val="24"/>
                <w:szCs w:val="24"/>
                <w:highlight w:val="none"/>
              </w:rPr>
            </w:pPr>
            <w:r>
              <w:rPr>
                <w:rFonts w:hint="eastAsia"/>
                <w:b/>
                <w:color w:val="auto"/>
                <w:sz w:val="24"/>
                <w:szCs w:val="24"/>
                <w:highlight w:val="none"/>
              </w:rPr>
              <w:t>年份</w:t>
            </w:r>
          </w:p>
          <w:p>
            <w:pPr>
              <w:spacing w:line="240" w:lineRule="auto"/>
              <w:ind w:firstLine="0" w:firstLineChars="0"/>
              <w:jc w:val="left"/>
              <w:rPr>
                <w:b/>
                <w:color w:val="auto"/>
                <w:sz w:val="24"/>
                <w:szCs w:val="24"/>
                <w:highlight w:val="none"/>
              </w:rPr>
            </w:pPr>
            <w:r>
              <w:rPr>
                <w:rFonts w:hint="eastAsia"/>
                <w:b/>
                <w:color w:val="auto"/>
                <w:sz w:val="24"/>
                <w:szCs w:val="24"/>
                <w:highlight w:val="none"/>
              </w:rPr>
              <w:t>生产线</w:t>
            </w:r>
          </w:p>
        </w:tc>
        <w:tc>
          <w:tcPr>
            <w:tcW w:w="1167"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168"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167"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496"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一线</w:t>
            </w:r>
          </w:p>
        </w:tc>
        <w:tc>
          <w:tcPr>
            <w:tcW w:w="1167" w:type="pct"/>
            <w:vAlign w:val="center"/>
          </w:tcPr>
          <w:p>
            <w:pPr>
              <w:spacing w:line="240" w:lineRule="auto"/>
              <w:ind w:firstLine="0" w:firstLineChars="0"/>
              <w:jc w:val="center"/>
              <w:rPr>
                <w:color w:val="auto"/>
                <w:sz w:val="24"/>
                <w:highlight w:val="none"/>
              </w:rPr>
            </w:pPr>
            <w:r>
              <w:rPr>
                <w:rFonts w:hint="eastAsia"/>
                <w:color w:val="auto"/>
                <w:sz w:val="24"/>
                <w:highlight w:val="none"/>
              </w:rPr>
              <w:t>9.9</w:t>
            </w:r>
          </w:p>
        </w:tc>
        <w:tc>
          <w:tcPr>
            <w:tcW w:w="1168" w:type="pct"/>
            <w:vAlign w:val="center"/>
          </w:tcPr>
          <w:p>
            <w:pPr>
              <w:spacing w:line="240" w:lineRule="auto"/>
              <w:ind w:firstLine="0" w:firstLineChars="0"/>
              <w:jc w:val="center"/>
              <w:rPr>
                <w:color w:val="auto"/>
                <w:sz w:val="24"/>
                <w:highlight w:val="none"/>
              </w:rPr>
            </w:pPr>
            <w:r>
              <w:rPr>
                <w:rFonts w:hint="eastAsia"/>
                <w:color w:val="auto"/>
                <w:sz w:val="24"/>
                <w:highlight w:val="none"/>
              </w:rPr>
              <w:t>10.8</w:t>
            </w:r>
          </w:p>
        </w:tc>
        <w:tc>
          <w:tcPr>
            <w:tcW w:w="1167" w:type="pct"/>
            <w:vAlign w:val="center"/>
          </w:tcPr>
          <w:p>
            <w:pPr>
              <w:spacing w:line="240" w:lineRule="auto"/>
              <w:ind w:firstLine="0" w:firstLineChars="0"/>
              <w:jc w:val="center"/>
              <w:rPr>
                <w:color w:val="auto"/>
                <w:sz w:val="24"/>
                <w:highlight w:val="none"/>
              </w:rPr>
            </w:pPr>
            <w:r>
              <w:rPr>
                <w:rFonts w:hint="eastAsia"/>
                <w:color w:val="auto"/>
                <w:sz w:val="24"/>
                <w:highlight w:val="none"/>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496"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二线</w:t>
            </w:r>
          </w:p>
        </w:tc>
        <w:tc>
          <w:tcPr>
            <w:tcW w:w="1167" w:type="pct"/>
            <w:vAlign w:val="center"/>
          </w:tcPr>
          <w:p>
            <w:pPr>
              <w:spacing w:line="240" w:lineRule="auto"/>
              <w:ind w:firstLine="0" w:firstLineChars="0"/>
              <w:jc w:val="center"/>
              <w:rPr>
                <w:color w:val="auto"/>
                <w:sz w:val="24"/>
                <w:highlight w:val="none"/>
              </w:rPr>
            </w:pPr>
            <w:r>
              <w:rPr>
                <w:rFonts w:hint="eastAsia"/>
                <w:color w:val="auto"/>
                <w:sz w:val="24"/>
                <w:highlight w:val="none"/>
              </w:rPr>
              <w:t>10.8</w:t>
            </w:r>
          </w:p>
        </w:tc>
        <w:tc>
          <w:tcPr>
            <w:tcW w:w="1168" w:type="pct"/>
            <w:vAlign w:val="center"/>
          </w:tcPr>
          <w:p>
            <w:pPr>
              <w:spacing w:line="240" w:lineRule="auto"/>
              <w:ind w:firstLine="0" w:firstLineChars="0"/>
              <w:jc w:val="center"/>
              <w:rPr>
                <w:color w:val="auto"/>
                <w:sz w:val="24"/>
                <w:highlight w:val="none"/>
              </w:rPr>
            </w:pPr>
            <w:r>
              <w:rPr>
                <w:rFonts w:hint="eastAsia"/>
                <w:color w:val="auto"/>
                <w:sz w:val="24"/>
                <w:highlight w:val="none"/>
              </w:rPr>
              <w:t>9.6</w:t>
            </w:r>
          </w:p>
        </w:tc>
        <w:tc>
          <w:tcPr>
            <w:tcW w:w="1167" w:type="pct"/>
            <w:vAlign w:val="center"/>
          </w:tcPr>
          <w:p>
            <w:pPr>
              <w:spacing w:line="240" w:lineRule="auto"/>
              <w:ind w:firstLine="0" w:firstLineChars="0"/>
              <w:jc w:val="center"/>
              <w:rPr>
                <w:color w:val="auto"/>
                <w:sz w:val="24"/>
                <w:highlight w:val="none"/>
              </w:rPr>
            </w:pPr>
            <w:r>
              <w:rPr>
                <w:rFonts w:hint="eastAsia"/>
                <w:color w:val="auto"/>
                <w:sz w:val="24"/>
                <w:highlight w:val="none"/>
              </w:rPr>
              <w:t>10.6</w:t>
            </w:r>
          </w:p>
        </w:tc>
      </w:tr>
    </w:tbl>
    <w:p>
      <w:pPr>
        <w:spacing w:line="240" w:lineRule="auto"/>
        <w:ind w:firstLine="0" w:firstLineChars="0"/>
        <w:rPr>
          <w:color w:val="auto"/>
          <w:sz w:val="21"/>
          <w:highlight w:val="none"/>
        </w:rPr>
      </w:pP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9</w:t>
      </w:r>
      <w:r>
        <w:rPr>
          <w:color w:val="auto"/>
          <w:highlight w:val="none"/>
        </w:rPr>
        <w:fldChar w:fldCharType="end"/>
      </w:r>
      <w:r>
        <w:rPr>
          <w:color w:val="auto"/>
          <w:highlight w:val="none"/>
        </w:rPr>
        <w:t xml:space="preserve"> </w:t>
      </w:r>
      <w:r>
        <w:rPr>
          <w:rFonts w:hint="eastAsia"/>
          <w:color w:val="auto"/>
          <w:highlight w:val="none"/>
        </w:rPr>
        <w:t>平板玻璃700t/d生产线新老标准能耗对标情况（kgce/重量箱）</w:t>
      </w:r>
    </w:p>
    <w:tbl>
      <w:tblPr>
        <w:tblStyle w:val="63"/>
        <w:tblW w:w="50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5"/>
        <w:gridCol w:w="1791"/>
        <w:gridCol w:w="1791"/>
        <w:gridCol w:w="3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 w:type="pct"/>
            <w:shd w:val="clear" w:color="auto" w:fill="auto"/>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能耗等级</w:t>
            </w:r>
          </w:p>
        </w:tc>
        <w:tc>
          <w:tcPr>
            <w:tcW w:w="1049" w:type="pct"/>
            <w:shd w:val="clear" w:color="auto" w:fill="auto"/>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GB</w:t>
            </w:r>
            <w:r>
              <w:rPr>
                <w:b/>
                <w:color w:val="auto"/>
                <w:sz w:val="24"/>
                <w:szCs w:val="24"/>
                <w:highlight w:val="none"/>
              </w:rPr>
              <w:t xml:space="preserve"> </w:t>
            </w:r>
            <w:r>
              <w:rPr>
                <w:rFonts w:hint="eastAsia"/>
                <w:b/>
                <w:color w:val="auto"/>
                <w:sz w:val="24"/>
                <w:szCs w:val="24"/>
                <w:highlight w:val="none"/>
              </w:rPr>
              <w:t>21340-2013</w:t>
            </w:r>
          </w:p>
        </w:tc>
        <w:tc>
          <w:tcPr>
            <w:tcW w:w="1049" w:type="pct"/>
            <w:shd w:val="clear" w:color="auto" w:fill="auto"/>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GB</w:t>
            </w:r>
            <w:r>
              <w:rPr>
                <w:b/>
                <w:color w:val="auto"/>
                <w:sz w:val="24"/>
                <w:szCs w:val="24"/>
                <w:highlight w:val="none"/>
              </w:rPr>
              <w:t xml:space="preserve"> </w:t>
            </w:r>
            <w:r>
              <w:rPr>
                <w:rFonts w:hint="eastAsia"/>
                <w:b/>
                <w:color w:val="auto"/>
                <w:sz w:val="24"/>
                <w:szCs w:val="24"/>
                <w:highlight w:val="none"/>
              </w:rPr>
              <w:t>21340-2019</w:t>
            </w:r>
          </w:p>
        </w:tc>
        <w:tc>
          <w:tcPr>
            <w:tcW w:w="2060" w:type="pct"/>
            <w:shd w:val="clear" w:color="auto" w:fill="auto"/>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变化说明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先进值</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12.5</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9.5</w:t>
            </w:r>
          </w:p>
        </w:tc>
        <w:tc>
          <w:tcPr>
            <w:tcW w:w="2060"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先进值共下降3kgce/重量箱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准入值</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12.5</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11.5</w:t>
            </w:r>
          </w:p>
        </w:tc>
        <w:tc>
          <w:tcPr>
            <w:tcW w:w="2060"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下降1kgce/重量箱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限定值</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13.5</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13.5</w:t>
            </w:r>
          </w:p>
        </w:tc>
        <w:tc>
          <w:tcPr>
            <w:tcW w:w="2060"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全国76.5%平板玻璃生产线达标</w:t>
            </w:r>
          </w:p>
        </w:tc>
      </w:tr>
    </w:tbl>
    <w:p>
      <w:pPr>
        <w:spacing w:line="240" w:lineRule="auto"/>
        <w:ind w:firstLine="0" w:firstLineChars="0"/>
        <w:rPr>
          <w:color w:val="auto"/>
          <w:sz w:val="21"/>
          <w:highlight w:val="none"/>
        </w:rPr>
      </w:pPr>
    </w:p>
    <w:p>
      <w:pPr>
        <w:ind w:firstLine="560"/>
        <w:rPr>
          <w:color w:val="auto"/>
          <w:highlight w:val="none"/>
        </w:rPr>
      </w:pPr>
      <w:r>
        <w:rPr>
          <w:rFonts w:hint="eastAsia"/>
          <w:color w:val="auto"/>
          <w:highlight w:val="none"/>
        </w:rPr>
        <w:t>咸宁南玻节能玻璃有限公司生产</w:t>
      </w:r>
      <w:r>
        <w:rPr>
          <w:color w:val="auto"/>
          <w:highlight w:val="none"/>
        </w:rPr>
        <w:t>的</w:t>
      </w:r>
      <w:r>
        <w:rPr>
          <w:rFonts w:hint="eastAsia"/>
          <w:color w:val="auto"/>
          <w:highlight w:val="none"/>
        </w:rPr>
        <w:t>平面普通钢化玻璃产品能耗≤3.22</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，平面低辐射镀膜钢化玻璃产品能耗≤3.99</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，夹层玻璃产品能耗≤4.0</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，用水定额≤0.01m</w:t>
      </w:r>
      <w:r>
        <w:rPr>
          <w:rFonts w:hint="eastAsia"/>
          <w:color w:val="auto"/>
          <w:highlight w:val="none"/>
          <w:vertAlign w:val="superscript"/>
        </w:rPr>
        <w:t>3</w:t>
      </w:r>
      <w:r>
        <w:rPr>
          <w:rFonts w:hint="eastAsia"/>
          <w:color w:val="auto"/>
          <w:highlight w:val="none"/>
        </w:rPr>
        <w:t>/m</w:t>
      </w:r>
      <w:r>
        <w:rPr>
          <w:rFonts w:hint="eastAsia"/>
          <w:color w:val="auto"/>
          <w:highlight w:val="none"/>
          <w:vertAlign w:val="superscript"/>
        </w:rPr>
        <w:t>2</w:t>
      </w:r>
      <w:r>
        <w:rPr>
          <w:rFonts w:hint="eastAsia"/>
          <w:color w:val="auto"/>
          <w:highlight w:val="none"/>
        </w:rPr>
        <w:t>，水资源重复利用率≥90%，满足《绿色产品评价建筑玻璃》（GB/T 35604-2017）</w:t>
      </w:r>
      <w:r>
        <w:rPr>
          <w:color w:val="auto"/>
          <w:highlight w:val="none"/>
        </w:rPr>
        <w:t>要求。</w:t>
      </w:r>
      <w:r>
        <w:rPr>
          <w:rFonts w:hint="eastAsia"/>
          <w:color w:val="auto"/>
          <w:highlight w:val="none"/>
        </w:rPr>
        <w:t>20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其</w:t>
      </w:r>
      <w:r>
        <w:rPr>
          <w:color w:val="auto"/>
          <w:highlight w:val="none"/>
        </w:rPr>
        <w:t>主要生产线产品</w:t>
      </w:r>
      <w:r>
        <w:rPr>
          <w:rFonts w:hint="eastAsia"/>
          <w:color w:val="auto"/>
          <w:highlight w:val="none"/>
        </w:rPr>
        <w:t>能耗</w:t>
      </w:r>
      <w:r>
        <w:rPr>
          <w:color w:val="auto"/>
          <w:highlight w:val="none"/>
        </w:rPr>
        <w:t>水平如下表所示：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10</w:t>
      </w:r>
      <w:r>
        <w:rPr>
          <w:color w:val="auto"/>
          <w:highlight w:val="none"/>
        </w:rPr>
        <w:fldChar w:fldCharType="end"/>
      </w:r>
      <w:r>
        <w:rPr>
          <w:color w:val="auto"/>
          <w:highlight w:val="none"/>
        </w:rPr>
        <w:t xml:space="preserve"> </w:t>
      </w:r>
      <w:r>
        <w:rPr>
          <w:rFonts w:hint="eastAsia"/>
          <w:color w:val="auto"/>
          <w:highlight w:val="none"/>
        </w:rPr>
        <w:t>南玻节能20</w:t>
      </w:r>
      <w:r>
        <w:rPr>
          <w:rFonts w:hint="eastAsia"/>
          <w:color w:val="auto"/>
          <w:highlight w:val="none"/>
          <w:lang w:val="en-US" w:eastAsia="zh-CN"/>
        </w:rPr>
        <w:t>22</w:t>
      </w:r>
      <w:r>
        <w:rPr>
          <w:rFonts w:hint="eastAsia"/>
          <w:color w:val="auto"/>
          <w:highlight w:val="none"/>
        </w:rPr>
        <w:t>年</w:t>
      </w:r>
      <w:r>
        <w:rPr>
          <w:color w:val="auto"/>
          <w:highlight w:val="none"/>
        </w:rPr>
        <w:t>相关能耗指标</w:t>
      </w:r>
    </w:p>
    <w:tbl>
      <w:tblPr>
        <w:tblStyle w:val="28"/>
        <w:tblW w:w="5000" w:type="pct"/>
        <w:tblInd w:w="0" w:type="dxa"/>
        <w:tblLayout w:type="autofit"/>
        <w:tblCellMar>
          <w:top w:w="0" w:type="dxa"/>
          <w:left w:w="57" w:type="dxa"/>
          <w:bottom w:w="0" w:type="dxa"/>
          <w:right w:w="57" w:type="dxa"/>
        </w:tblCellMar>
      </w:tblPr>
      <w:tblGrid>
        <w:gridCol w:w="2642"/>
        <w:gridCol w:w="2890"/>
        <w:gridCol w:w="2888"/>
      </w:tblGrid>
      <w:tr>
        <w:tblPrEx>
          <w:tblCellMar>
            <w:top w:w="0" w:type="dxa"/>
            <w:left w:w="57" w:type="dxa"/>
            <w:bottom w:w="0" w:type="dxa"/>
            <w:right w:w="57" w:type="dxa"/>
          </w:tblCellMar>
        </w:tblPrEx>
        <w:trPr>
          <w:trHeight w:val="454" w:hRule="atLeast"/>
        </w:trPr>
        <w:tc>
          <w:tcPr>
            <w:tcW w:w="3285" w:type="pct"/>
            <w:gridSpan w:val="2"/>
            <w:tcBorders>
              <w:top w:val="single" w:color="auto" w:sz="4" w:space="0"/>
              <w:left w:val="single" w:color="auto" w:sz="4" w:space="0"/>
              <w:bottom w:val="single" w:color="000000" w:sz="4" w:space="0"/>
              <w:right w:val="single" w:color="auto" w:sz="4" w:space="0"/>
            </w:tcBorders>
            <w:shd w:val="clear" w:color="auto" w:fill="auto"/>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项目</w:t>
            </w:r>
          </w:p>
        </w:tc>
        <w:tc>
          <w:tcPr>
            <w:tcW w:w="1715" w:type="pct"/>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指标</w:t>
            </w:r>
          </w:p>
        </w:tc>
      </w:tr>
      <w:tr>
        <w:tblPrEx>
          <w:tblCellMar>
            <w:top w:w="0" w:type="dxa"/>
            <w:left w:w="57" w:type="dxa"/>
            <w:bottom w:w="0" w:type="dxa"/>
            <w:right w:w="57" w:type="dxa"/>
          </w:tblCellMar>
        </w:tblPrEx>
        <w:trPr>
          <w:trHeight w:val="454" w:hRule="atLeast"/>
        </w:trPr>
        <w:tc>
          <w:tcPr>
            <w:tcW w:w="1569" w:type="pct"/>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钢化电耗</w:t>
            </w:r>
          </w:p>
        </w:tc>
        <w:tc>
          <w:tcPr>
            <w:tcW w:w="1716" w:type="pct"/>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5线</w:t>
            </w:r>
          </w:p>
        </w:tc>
        <w:tc>
          <w:tcPr>
            <w:tcW w:w="1715" w:type="pct"/>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3.13 k</w:t>
            </w:r>
            <w:r>
              <w:rPr>
                <w:rFonts w:hint="eastAsia"/>
                <w:color w:val="auto"/>
                <w:sz w:val="24"/>
                <w:szCs w:val="24"/>
                <w:highlight w:val="none"/>
              </w:rPr>
              <w:t>W</w:t>
            </w:r>
            <w:r>
              <w:rPr>
                <w:color w:val="auto"/>
                <w:sz w:val="24"/>
                <w:szCs w:val="24"/>
                <w:highlight w:val="none"/>
              </w:rPr>
              <w:t>·</w:t>
            </w:r>
            <w:r>
              <w:rPr>
                <w:rFonts w:hint="eastAsia"/>
                <w:color w:val="auto"/>
                <w:sz w:val="24"/>
                <w:szCs w:val="24"/>
                <w:highlight w:val="none"/>
              </w:rPr>
              <w:t>h/m</w:t>
            </w:r>
            <w:r>
              <w:rPr>
                <w:rFonts w:hint="eastAsia"/>
                <w:color w:val="auto"/>
                <w:sz w:val="24"/>
                <w:szCs w:val="24"/>
                <w:highlight w:val="none"/>
                <w:vertAlign w:val="superscript"/>
              </w:rPr>
              <w:t>2</w:t>
            </w:r>
          </w:p>
        </w:tc>
      </w:tr>
      <w:tr>
        <w:tblPrEx>
          <w:tblCellMar>
            <w:top w:w="0" w:type="dxa"/>
            <w:left w:w="57" w:type="dxa"/>
            <w:bottom w:w="0" w:type="dxa"/>
            <w:right w:w="57" w:type="dxa"/>
          </w:tblCellMar>
        </w:tblPrEx>
        <w:trPr>
          <w:trHeight w:val="454" w:hRule="atLeast"/>
        </w:trPr>
        <w:tc>
          <w:tcPr>
            <w:tcW w:w="1569" w:type="pct"/>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p>
        </w:tc>
        <w:tc>
          <w:tcPr>
            <w:tcW w:w="1716"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7线</w:t>
            </w:r>
          </w:p>
        </w:tc>
        <w:tc>
          <w:tcPr>
            <w:tcW w:w="1715" w:type="pct"/>
            <w:tcBorders>
              <w:top w:val="nil"/>
              <w:left w:val="nil"/>
              <w:bottom w:val="single" w:color="auto" w:sz="4" w:space="0"/>
              <w:right w:val="single" w:color="auto"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3.16 k</w:t>
            </w:r>
            <w:r>
              <w:rPr>
                <w:rFonts w:hint="eastAsia"/>
                <w:color w:val="auto"/>
                <w:sz w:val="24"/>
                <w:szCs w:val="24"/>
                <w:highlight w:val="none"/>
              </w:rPr>
              <w:t>W</w:t>
            </w:r>
            <w:r>
              <w:rPr>
                <w:color w:val="auto"/>
                <w:sz w:val="24"/>
                <w:szCs w:val="24"/>
                <w:highlight w:val="none"/>
              </w:rPr>
              <w:t>·</w:t>
            </w:r>
            <w:r>
              <w:rPr>
                <w:rFonts w:hint="eastAsia"/>
                <w:color w:val="auto"/>
                <w:sz w:val="24"/>
                <w:szCs w:val="24"/>
                <w:highlight w:val="none"/>
              </w:rPr>
              <w:t>h/m</w:t>
            </w:r>
            <w:r>
              <w:rPr>
                <w:rFonts w:hint="eastAsia"/>
                <w:color w:val="auto"/>
                <w:sz w:val="24"/>
                <w:szCs w:val="24"/>
                <w:highlight w:val="none"/>
                <w:vertAlign w:val="superscript"/>
              </w:rPr>
              <w:t>2</w:t>
            </w:r>
          </w:p>
        </w:tc>
      </w:tr>
      <w:tr>
        <w:tblPrEx>
          <w:tblCellMar>
            <w:top w:w="0" w:type="dxa"/>
            <w:left w:w="57" w:type="dxa"/>
            <w:bottom w:w="0" w:type="dxa"/>
            <w:right w:w="57" w:type="dxa"/>
          </w:tblCellMar>
        </w:tblPrEx>
        <w:trPr>
          <w:trHeight w:val="454" w:hRule="atLeast"/>
        </w:trPr>
        <w:tc>
          <w:tcPr>
            <w:tcW w:w="1569" w:type="pct"/>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p>
        </w:tc>
        <w:tc>
          <w:tcPr>
            <w:tcW w:w="1716"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平均</w:t>
            </w:r>
          </w:p>
        </w:tc>
        <w:tc>
          <w:tcPr>
            <w:tcW w:w="1715" w:type="pct"/>
            <w:tcBorders>
              <w:top w:val="nil"/>
              <w:left w:val="nil"/>
              <w:bottom w:val="single" w:color="auto" w:sz="4" w:space="0"/>
              <w:right w:val="single" w:color="auto"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3.14 k</w:t>
            </w:r>
            <w:r>
              <w:rPr>
                <w:rFonts w:hint="eastAsia"/>
                <w:color w:val="auto"/>
                <w:sz w:val="24"/>
                <w:szCs w:val="24"/>
                <w:highlight w:val="none"/>
              </w:rPr>
              <w:t>W</w:t>
            </w:r>
            <w:r>
              <w:rPr>
                <w:color w:val="auto"/>
                <w:sz w:val="24"/>
                <w:szCs w:val="24"/>
                <w:highlight w:val="none"/>
              </w:rPr>
              <w:t>·</w:t>
            </w:r>
            <w:r>
              <w:rPr>
                <w:rFonts w:hint="eastAsia"/>
                <w:color w:val="auto"/>
                <w:sz w:val="24"/>
                <w:szCs w:val="24"/>
                <w:highlight w:val="none"/>
              </w:rPr>
              <w:t>h/m</w:t>
            </w:r>
            <w:r>
              <w:rPr>
                <w:rFonts w:hint="eastAsia"/>
                <w:color w:val="auto"/>
                <w:sz w:val="24"/>
                <w:szCs w:val="24"/>
                <w:highlight w:val="none"/>
                <w:vertAlign w:val="superscript"/>
              </w:rPr>
              <w:t>2</w:t>
            </w:r>
          </w:p>
        </w:tc>
      </w:tr>
      <w:tr>
        <w:tblPrEx>
          <w:tblCellMar>
            <w:top w:w="0" w:type="dxa"/>
            <w:left w:w="57" w:type="dxa"/>
            <w:bottom w:w="0" w:type="dxa"/>
            <w:right w:w="57" w:type="dxa"/>
          </w:tblCellMar>
        </w:tblPrEx>
        <w:trPr>
          <w:trHeight w:val="454" w:hRule="atLeast"/>
        </w:trPr>
        <w:tc>
          <w:tcPr>
            <w:tcW w:w="1569" w:type="pct"/>
            <w:tcBorders>
              <w:top w:val="nil"/>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夹层电耗</w:t>
            </w:r>
          </w:p>
        </w:tc>
        <w:tc>
          <w:tcPr>
            <w:tcW w:w="1716"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1/2线</w:t>
            </w:r>
          </w:p>
        </w:tc>
        <w:tc>
          <w:tcPr>
            <w:tcW w:w="1715" w:type="pct"/>
            <w:tcBorders>
              <w:top w:val="nil"/>
              <w:left w:val="nil"/>
              <w:bottom w:val="single" w:color="auto" w:sz="4" w:space="0"/>
              <w:right w:val="single" w:color="auto"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3.37 k</w:t>
            </w:r>
            <w:r>
              <w:rPr>
                <w:rFonts w:hint="eastAsia"/>
                <w:color w:val="auto"/>
                <w:sz w:val="24"/>
                <w:szCs w:val="24"/>
                <w:highlight w:val="none"/>
              </w:rPr>
              <w:t>W</w:t>
            </w:r>
            <w:r>
              <w:rPr>
                <w:color w:val="auto"/>
                <w:sz w:val="24"/>
                <w:szCs w:val="24"/>
                <w:highlight w:val="none"/>
              </w:rPr>
              <w:t>·</w:t>
            </w:r>
            <w:r>
              <w:rPr>
                <w:rFonts w:hint="eastAsia"/>
                <w:color w:val="auto"/>
                <w:sz w:val="24"/>
                <w:szCs w:val="24"/>
                <w:highlight w:val="none"/>
              </w:rPr>
              <w:t>h/m</w:t>
            </w:r>
            <w:r>
              <w:rPr>
                <w:rFonts w:hint="eastAsia"/>
                <w:color w:val="auto"/>
                <w:sz w:val="24"/>
                <w:szCs w:val="24"/>
                <w:highlight w:val="none"/>
                <w:vertAlign w:val="superscript"/>
              </w:rPr>
              <w:t>2</w:t>
            </w:r>
          </w:p>
        </w:tc>
      </w:tr>
      <w:tr>
        <w:tblPrEx>
          <w:tblCellMar>
            <w:top w:w="0" w:type="dxa"/>
            <w:left w:w="57" w:type="dxa"/>
            <w:bottom w:w="0" w:type="dxa"/>
            <w:right w:w="57" w:type="dxa"/>
          </w:tblCellMar>
        </w:tblPrEx>
        <w:trPr>
          <w:trHeight w:val="454" w:hRule="atLeast"/>
        </w:trPr>
        <w:tc>
          <w:tcPr>
            <w:tcW w:w="3285"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用水定额</w:t>
            </w:r>
          </w:p>
        </w:tc>
        <w:tc>
          <w:tcPr>
            <w:tcW w:w="1715" w:type="pct"/>
            <w:tcBorders>
              <w:top w:val="single" w:color="auto" w:sz="4" w:space="0"/>
              <w:left w:val="single" w:color="auto" w:sz="4" w:space="0"/>
              <w:bottom w:val="single" w:color="auto" w:sz="4" w:space="0"/>
              <w:right w:val="single" w:color="000000"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 xml:space="preserve">0.009 </w:t>
            </w:r>
            <w:r>
              <w:rPr>
                <w:rFonts w:hint="eastAsia"/>
                <w:color w:val="auto"/>
                <w:sz w:val="24"/>
                <w:szCs w:val="24"/>
                <w:highlight w:val="none"/>
              </w:rPr>
              <w:t>m</w:t>
            </w:r>
            <w:r>
              <w:rPr>
                <w:rFonts w:hint="eastAsia"/>
                <w:color w:val="auto"/>
                <w:sz w:val="24"/>
                <w:szCs w:val="24"/>
                <w:highlight w:val="none"/>
                <w:vertAlign w:val="superscript"/>
              </w:rPr>
              <w:t>3</w:t>
            </w:r>
            <w:r>
              <w:rPr>
                <w:rFonts w:hint="eastAsia"/>
                <w:color w:val="auto"/>
                <w:sz w:val="24"/>
                <w:szCs w:val="24"/>
                <w:highlight w:val="none"/>
              </w:rPr>
              <w:t>/m</w:t>
            </w:r>
            <w:r>
              <w:rPr>
                <w:rFonts w:hint="eastAsia"/>
                <w:color w:val="auto"/>
                <w:sz w:val="24"/>
                <w:szCs w:val="24"/>
                <w:highlight w:val="none"/>
                <w:vertAlign w:val="superscript"/>
              </w:rPr>
              <w:t>2</w:t>
            </w:r>
          </w:p>
        </w:tc>
      </w:tr>
      <w:tr>
        <w:tblPrEx>
          <w:tblCellMar>
            <w:top w:w="0" w:type="dxa"/>
            <w:left w:w="57" w:type="dxa"/>
            <w:bottom w:w="0" w:type="dxa"/>
            <w:right w:w="57" w:type="dxa"/>
          </w:tblCellMar>
        </w:tblPrEx>
        <w:trPr>
          <w:trHeight w:val="454" w:hRule="atLeast"/>
        </w:trPr>
        <w:tc>
          <w:tcPr>
            <w:tcW w:w="3285"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水资源重复利用率</w:t>
            </w:r>
          </w:p>
        </w:tc>
        <w:tc>
          <w:tcPr>
            <w:tcW w:w="1715" w:type="pct"/>
            <w:tcBorders>
              <w:top w:val="single" w:color="auto" w:sz="4" w:space="0"/>
              <w:left w:val="single" w:color="auto" w:sz="4" w:space="0"/>
              <w:bottom w:val="single" w:color="auto" w:sz="4" w:space="0"/>
              <w:right w:val="single" w:color="000000"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92%</w:t>
            </w:r>
          </w:p>
        </w:tc>
      </w:tr>
    </w:tbl>
    <w:p>
      <w:pPr>
        <w:spacing w:line="240" w:lineRule="auto"/>
        <w:ind w:firstLine="0" w:firstLineChars="0"/>
        <w:rPr>
          <w:color w:val="auto"/>
          <w:sz w:val="21"/>
          <w:highlight w:val="none"/>
        </w:rPr>
      </w:pPr>
    </w:p>
    <w:p>
      <w:pPr>
        <w:ind w:firstLine="560"/>
        <w:rPr>
          <w:color w:val="auto"/>
          <w:highlight w:val="none"/>
        </w:rPr>
      </w:pPr>
      <w:r>
        <w:rPr>
          <w:rFonts w:hint="eastAsia"/>
          <w:color w:val="auto"/>
          <w:highlight w:val="none"/>
        </w:rPr>
        <w:t>咸宁南玻光电玻璃有限公司生产的高铝硅酸盐盖板玻璃不属于平板玻璃行业，属于新材料行业，暂无具体的行业能耗标准，其单位生产能耗约为1.4t</w:t>
      </w:r>
      <w:r>
        <w:rPr>
          <w:color w:val="auto"/>
          <w:highlight w:val="none"/>
        </w:rPr>
        <w:t>ce</w:t>
      </w:r>
      <w:r>
        <w:rPr>
          <w:rFonts w:hint="eastAsia"/>
          <w:color w:val="auto"/>
          <w:highlight w:val="none"/>
        </w:rPr>
        <w:t>/t玻璃液，与主要竞争对手对标均保持国内和国际先进水平。</w:t>
      </w:r>
    </w:p>
    <w:p>
      <w:pPr>
        <w:ind w:firstLine="560"/>
        <w:rPr>
          <w:color w:val="auto"/>
          <w:highlight w:val="none"/>
        </w:rPr>
      </w:pPr>
      <w:r>
        <w:rPr>
          <w:rFonts w:hint="eastAsia"/>
          <w:color w:val="auto"/>
          <w:highlight w:val="none"/>
        </w:rPr>
        <w:t>整体而言，咸宁高新区玻璃制造行业三家主要企业采用的工艺及设备先进、节能措施和节能管理实施到位，能耗水平处于国内先进水平。</w:t>
      </w:r>
    </w:p>
    <w:p>
      <w:pPr>
        <w:pStyle w:val="4"/>
        <w:numPr>
          <w:ilvl w:val="2"/>
          <w:numId w:val="2"/>
        </w:numPr>
        <w:ind w:left="709" w:hanging="709"/>
        <w:rPr>
          <w:color w:val="auto"/>
          <w:highlight w:val="none"/>
        </w:rPr>
      </w:pPr>
      <w:bookmarkStart w:id="47" w:name="_Toc4901"/>
      <w:r>
        <w:rPr>
          <w:rFonts w:hint="eastAsia"/>
          <w:color w:val="auto"/>
          <w:highlight w:val="none"/>
        </w:rPr>
        <w:t>饮料制造</w:t>
      </w:r>
      <w:bookmarkEnd w:id="47"/>
    </w:p>
    <w:p>
      <w:pPr>
        <w:ind w:firstLine="560"/>
        <w:rPr>
          <w:color w:val="auto"/>
          <w:highlight w:val="none"/>
        </w:rPr>
      </w:pPr>
      <w:r>
        <w:rPr>
          <w:rFonts w:hint="eastAsia"/>
          <w:color w:val="auto"/>
          <w:highlight w:val="none"/>
        </w:rPr>
        <w:t>区内饮料</w:t>
      </w:r>
      <w:r>
        <w:rPr>
          <w:color w:val="auto"/>
          <w:highlight w:val="none"/>
        </w:rPr>
        <w:t>生产企业主要为</w:t>
      </w:r>
      <w:r>
        <w:rPr>
          <w:rFonts w:hint="eastAsia"/>
          <w:color w:val="auto"/>
          <w:highlight w:val="none"/>
        </w:rPr>
        <w:t>湖北奥瑞金饮料工业有限公司、今麦郎饮品（咸宁）有限公司及红牛维他命饮料（湖北）有限公司，</w:t>
      </w:r>
    </w:p>
    <w:p>
      <w:pPr>
        <w:ind w:firstLine="560"/>
        <w:rPr>
          <w:color w:val="auto"/>
          <w:highlight w:val="none"/>
        </w:rPr>
      </w:pPr>
      <w:r>
        <w:rPr>
          <w:rFonts w:hint="eastAsia"/>
          <w:color w:val="auto"/>
          <w:highlight w:val="none"/>
        </w:rPr>
        <w:t>根据</w:t>
      </w:r>
      <w:r>
        <w:rPr>
          <w:color w:val="auto"/>
          <w:highlight w:val="none"/>
        </w:rPr>
        <w:t>《</w:t>
      </w:r>
      <w:r>
        <w:rPr>
          <w:rFonts w:hint="eastAsia"/>
          <w:color w:val="auto"/>
          <w:highlight w:val="none"/>
        </w:rPr>
        <w:t>饮料制造综合能耗限额</w:t>
      </w:r>
      <w:r>
        <w:rPr>
          <w:color w:val="auto"/>
          <w:highlight w:val="none"/>
        </w:rPr>
        <w:t>》</w:t>
      </w:r>
      <w:r>
        <w:rPr>
          <w:rFonts w:hint="eastAsia"/>
          <w:color w:val="auto"/>
          <w:highlight w:val="none"/>
        </w:rPr>
        <w:t>（QBT 4069-2010），饮料产品能耗限额标准如下表所示：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11</w:t>
      </w:r>
      <w:r>
        <w:rPr>
          <w:color w:val="auto"/>
          <w:highlight w:val="none"/>
        </w:rPr>
        <w:fldChar w:fldCharType="end"/>
      </w:r>
      <w:r>
        <w:rPr>
          <w:color w:val="auto"/>
          <w:highlight w:val="none"/>
        </w:rPr>
        <w:t xml:space="preserve"> </w:t>
      </w:r>
      <w:r>
        <w:rPr>
          <w:rFonts w:hint="eastAsia"/>
          <w:color w:val="auto"/>
          <w:highlight w:val="none"/>
        </w:rPr>
        <w:t>饮料制造综合能耗限额</w:t>
      </w:r>
    </w:p>
    <w:tbl>
      <w:tblPr>
        <w:tblStyle w:val="29"/>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46"/>
        <w:gridCol w:w="879"/>
        <w:gridCol w:w="851"/>
        <w:gridCol w:w="3433"/>
        <w:gridCol w:w="1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46" w:type="dxa"/>
            <w:vAlign w:val="center"/>
          </w:tcPr>
          <w:p>
            <w:pPr>
              <w:spacing w:line="240" w:lineRule="auto"/>
              <w:ind w:firstLine="0" w:firstLineChars="0"/>
              <w:jc w:val="center"/>
              <w:rPr>
                <w:b/>
                <w:color w:val="auto"/>
                <w:sz w:val="24"/>
                <w:highlight w:val="none"/>
              </w:rPr>
            </w:pPr>
            <w:r>
              <w:rPr>
                <w:rFonts w:hint="eastAsia"/>
                <w:b/>
                <w:color w:val="auto"/>
                <w:sz w:val="24"/>
                <w:highlight w:val="none"/>
              </w:rPr>
              <w:t>饮料</w:t>
            </w:r>
            <w:r>
              <w:rPr>
                <w:b/>
                <w:color w:val="auto"/>
                <w:sz w:val="24"/>
                <w:highlight w:val="none"/>
              </w:rPr>
              <w:t>种类</w:t>
            </w:r>
          </w:p>
        </w:tc>
        <w:tc>
          <w:tcPr>
            <w:tcW w:w="1730" w:type="dxa"/>
            <w:gridSpan w:val="2"/>
            <w:vAlign w:val="center"/>
          </w:tcPr>
          <w:p>
            <w:pPr>
              <w:spacing w:line="240" w:lineRule="auto"/>
              <w:ind w:firstLine="0" w:firstLineChars="0"/>
              <w:jc w:val="center"/>
              <w:rPr>
                <w:b/>
                <w:color w:val="auto"/>
                <w:sz w:val="24"/>
                <w:highlight w:val="none"/>
              </w:rPr>
            </w:pPr>
            <w:r>
              <w:rPr>
                <w:rFonts w:hint="eastAsia"/>
                <w:b/>
                <w:color w:val="auto"/>
                <w:sz w:val="24"/>
                <w:highlight w:val="none"/>
              </w:rPr>
              <w:t>综合</w:t>
            </w:r>
            <w:r>
              <w:rPr>
                <w:b/>
                <w:color w:val="auto"/>
                <w:sz w:val="24"/>
                <w:highlight w:val="none"/>
              </w:rPr>
              <w:t>能耗限额（</w:t>
            </w:r>
            <w:r>
              <w:rPr>
                <w:rFonts w:hint="eastAsia"/>
                <w:b/>
                <w:color w:val="auto"/>
                <w:sz w:val="24"/>
                <w:highlight w:val="none"/>
              </w:rPr>
              <w:t>kgce</w:t>
            </w:r>
            <w:r>
              <w:rPr>
                <w:b/>
                <w:color w:val="auto"/>
                <w:sz w:val="24"/>
                <w:highlight w:val="none"/>
              </w:rPr>
              <w:t>/t）</w:t>
            </w:r>
          </w:p>
        </w:tc>
        <w:tc>
          <w:tcPr>
            <w:tcW w:w="3433" w:type="dxa"/>
            <w:vAlign w:val="center"/>
          </w:tcPr>
          <w:p>
            <w:pPr>
              <w:spacing w:line="240" w:lineRule="auto"/>
              <w:ind w:firstLine="0" w:firstLineChars="0"/>
              <w:jc w:val="center"/>
              <w:rPr>
                <w:b/>
                <w:color w:val="auto"/>
                <w:sz w:val="24"/>
                <w:highlight w:val="none"/>
              </w:rPr>
            </w:pPr>
            <w:r>
              <w:rPr>
                <w:rFonts w:hint="eastAsia"/>
                <w:b/>
                <w:color w:val="auto"/>
                <w:sz w:val="24"/>
                <w:highlight w:val="none"/>
              </w:rPr>
              <w:t>综合</w:t>
            </w:r>
            <w:r>
              <w:rPr>
                <w:b/>
                <w:color w:val="auto"/>
                <w:sz w:val="24"/>
                <w:highlight w:val="none"/>
              </w:rPr>
              <w:t>能耗限额的调节系数</w:t>
            </w:r>
          </w:p>
        </w:tc>
        <w:tc>
          <w:tcPr>
            <w:tcW w:w="1811" w:type="dxa"/>
            <w:vAlign w:val="center"/>
          </w:tcPr>
          <w:p>
            <w:pPr>
              <w:spacing w:line="240" w:lineRule="auto"/>
              <w:ind w:firstLine="0" w:firstLineChars="0"/>
              <w:jc w:val="center"/>
              <w:rPr>
                <w:b/>
                <w:color w:val="auto"/>
                <w:sz w:val="24"/>
                <w:highlight w:val="none"/>
              </w:rPr>
            </w:pPr>
            <w:r>
              <w:rPr>
                <w:rFonts w:hint="eastAsia"/>
                <w:b/>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0"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碳酸</w:t>
            </w:r>
            <w:r>
              <w:rPr>
                <w:color w:val="auto"/>
                <w:sz w:val="21"/>
                <w:highlight w:val="none"/>
              </w:rPr>
              <w:t>饮料</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20</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自制PET瓶1.8</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w:t>
            </w:r>
            <w:r>
              <w:rPr>
                <w:rFonts w:hint="eastAsia"/>
                <w:color w:val="auto"/>
                <w:sz w:val="21"/>
                <w:highlight w:val="none"/>
              </w:rPr>
              <w:t>1.5</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w:t>
            </w:r>
            <w:r>
              <w:rPr>
                <w:color w:val="auto"/>
                <w:sz w:val="21"/>
                <w:highlight w:val="none"/>
              </w:rPr>
              <w:t>回收玻璃瓶</w:t>
            </w:r>
            <w:r>
              <w:rPr>
                <w:rFonts w:hint="eastAsia"/>
                <w:color w:val="auto"/>
                <w:sz w:val="21"/>
                <w:highlight w:val="none"/>
              </w:rPr>
              <w:t>3</w:t>
            </w:r>
          </w:p>
        </w:tc>
        <w:tc>
          <w:tcPr>
            <w:tcW w:w="1811"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PET</w:t>
            </w:r>
            <w:r>
              <w:rPr>
                <w:color w:val="auto"/>
                <w:sz w:val="21"/>
                <w:highlight w:val="none"/>
              </w:rPr>
              <w:t>瓶、金属罐和一次性玻璃瓶外购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0"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15</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自制PET瓶2</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w:t>
            </w:r>
            <w:r>
              <w:rPr>
                <w:rFonts w:hint="eastAsia"/>
                <w:color w:val="auto"/>
                <w:sz w:val="21"/>
                <w:highlight w:val="none"/>
              </w:rPr>
              <w:t>1.</w:t>
            </w:r>
            <w:r>
              <w:rPr>
                <w:color w:val="auto"/>
                <w:sz w:val="21"/>
                <w:highlight w:val="none"/>
              </w:rPr>
              <w:t>6</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w:t>
            </w:r>
            <w:r>
              <w:rPr>
                <w:color w:val="auto"/>
                <w:sz w:val="21"/>
                <w:highlight w:val="none"/>
              </w:rPr>
              <w:t>回收玻璃瓶</w:t>
            </w:r>
            <w:r>
              <w:rPr>
                <w:rFonts w:hint="eastAsia"/>
                <w:color w:val="auto"/>
                <w:sz w:val="21"/>
                <w:highlight w:val="none"/>
              </w:rPr>
              <w:t>3</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0"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9</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自制PET瓶2.5</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外购PET瓶坯，自吹瓶2</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w:t>
            </w:r>
            <w:r>
              <w:rPr>
                <w:color w:val="auto"/>
                <w:sz w:val="21"/>
                <w:highlight w:val="none"/>
              </w:rPr>
              <w:t>回收玻璃瓶1</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包装</w:t>
            </w:r>
            <w:r>
              <w:rPr>
                <w:color w:val="auto"/>
                <w:sz w:val="21"/>
                <w:highlight w:val="none"/>
              </w:rPr>
              <w:t>饮用水</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8</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自制PET瓶2.3</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外购PET瓶坯，自吹瓶1.8</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、桶装水</w:t>
            </w:r>
            <w:r>
              <w:rPr>
                <w:color w:val="auto"/>
                <w:sz w:val="21"/>
                <w:highlight w:val="none"/>
              </w:rPr>
              <w:t>0.6</w:t>
            </w:r>
          </w:p>
        </w:tc>
        <w:tc>
          <w:tcPr>
            <w:tcW w:w="1811"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PET</w:t>
            </w:r>
            <w:r>
              <w:rPr>
                <w:color w:val="auto"/>
                <w:sz w:val="21"/>
                <w:highlight w:val="none"/>
              </w:rPr>
              <w:t>瓶外购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5</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自制PET瓶3</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外购PET瓶坯，自吹瓶2.2</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、桶装水</w:t>
            </w:r>
            <w:r>
              <w:rPr>
                <w:color w:val="auto"/>
                <w:sz w:val="21"/>
                <w:highlight w:val="none"/>
              </w:rPr>
              <w:t>0.6</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3</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自制PET瓶3.3</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外购PET瓶坯，自吹瓶2.5</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、桶装水</w:t>
            </w:r>
            <w:r>
              <w:rPr>
                <w:color w:val="auto"/>
                <w:sz w:val="21"/>
                <w:highlight w:val="none"/>
              </w:rPr>
              <w:t>0.6</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茶饮料</w:t>
            </w:r>
          </w:p>
          <w:p>
            <w:pPr>
              <w:spacing w:line="300" w:lineRule="exact"/>
              <w:ind w:firstLine="0" w:firstLineChars="0"/>
              <w:jc w:val="center"/>
              <w:rPr>
                <w:color w:val="auto"/>
                <w:sz w:val="21"/>
                <w:highlight w:val="none"/>
              </w:rPr>
            </w:pPr>
            <w:r>
              <w:rPr>
                <w:rFonts w:hint="eastAsia"/>
                <w:color w:val="auto"/>
                <w:sz w:val="21"/>
                <w:highlight w:val="none"/>
              </w:rPr>
              <w:t>果蔬汁</w:t>
            </w:r>
            <w:r>
              <w:rPr>
                <w:color w:val="auto"/>
                <w:sz w:val="21"/>
                <w:highlight w:val="none"/>
              </w:rPr>
              <w:t>饮料</w:t>
            </w:r>
          </w:p>
          <w:p>
            <w:pPr>
              <w:spacing w:line="300" w:lineRule="exact"/>
              <w:ind w:firstLine="0" w:firstLineChars="0"/>
              <w:jc w:val="center"/>
              <w:rPr>
                <w:color w:val="auto"/>
                <w:sz w:val="21"/>
                <w:highlight w:val="none"/>
              </w:rPr>
            </w:pPr>
            <w:r>
              <w:rPr>
                <w:rFonts w:hint="eastAsia"/>
                <w:color w:val="auto"/>
                <w:sz w:val="21"/>
                <w:highlight w:val="none"/>
              </w:rPr>
              <w:t>特殊用途</w:t>
            </w:r>
            <w:r>
              <w:rPr>
                <w:color w:val="auto"/>
                <w:sz w:val="21"/>
                <w:highlight w:val="none"/>
              </w:rPr>
              <w:t>饮料</w:t>
            </w:r>
          </w:p>
          <w:p>
            <w:pPr>
              <w:spacing w:line="300" w:lineRule="exact"/>
              <w:ind w:firstLine="0" w:firstLineChars="0"/>
              <w:jc w:val="center"/>
              <w:rPr>
                <w:color w:val="auto"/>
                <w:sz w:val="21"/>
                <w:highlight w:val="none"/>
              </w:rPr>
            </w:pPr>
            <w:r>
              <w:rPr>
                <w:rFonts w:hint="eastAsia"/>
                <w:color w:val="auto"/>
                <w:sz w:val="21"/>
                <w:highlight w:val="none"/>
              </w:rPr>
              <w:t>风味</w:t>
            </w:r>
            <w:r>
              <w:rPr>
                <w:color w:val="auto"/>
                <w:sz w:val="21"/>
                <w:highlight w:val="none"/>
              </w:rPr>
              <w:t>饮料</w:t>
            </w:r>
          </w:p>
          <w:p>
            <w:pPr>
              <w:spacing w:line="300" w:lineRule="exact"/>
              <w:ind w:firstLine="0" w:firstLineChars="0"/>
              <w:jc w:val="center"/>
              <w:rPr>
                <w:color w:val="auto"/>
                <w:sz w:val="21"/>
                <w:highlight w:val="none"/>
              </w:rPr>
            </w:pPr>
            <w:r>
              <w:rPr>
                <w:rFonts w:hint="eastAsia"/>
                <w:color w:val="auto"/>
                <w:sz w:val="21"/>
                <w:highlight w:val="none"/>
              </w:rPr>
              <w:t>植物</w:t>
            </w:r>
            <w:r>
              <w:rPr>
                <w:color w:val="auto"/>
                <w:sz w:val="21"/>
                <w:highlight w:val="none"/>
              </w:rPr>
              <w:t>饮料</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40</w:t>
            </w:r>
          </w:p>
        </w:tc>
        <w:tc>
          <w:tcPr>
            <w:tcW w:w="3433" w:type="dxa"/>
            <w:vMerge w:val="restart"/>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自制PET瓶1.5</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外购PET瓶坯，自吹瓶1.2</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w:t>
            </w:r>
            <w:r>
              <w:rPr>
                <w:color w:val="auto"/>
                <w:sz w:val="21"/>
                <w:highlight w:val="none"/>
              </w:rPr>
              <w:t>纸</w:t>
            </w:r>
            <w:r>
              <w:rPr>
                <w:rFonts w:hint="eastAsia"/>
                <w:color w:val="auto"/>
                <w:sz w:val="21"/>
                <w:highlight w:val="none"/>
              </w:rPr>
              <w:t>塑复合</w:t>
            </w:r>
            <w:r>
              <w:rPr>
                <w:color w:val="auto"/>
                <w:sz w:val="21"/>
                <w:highlight w:val="none"/>
              </w:rPr>
              <w:t>包装、无菌灌装</w:t>
            </w:r>
            <w:r>
              <w:rPr>
                <w:rFonts w:hint="eastAsia"/>
                <w:color w:val="auto"/>
                <w:sz w:val="21"/>
                <w:highlight w:val="none"/>
              </w:rPr>
              <w:t>0.9</w:t>
            </w:r>
          </w:p>
          <w:p>
            <w:pPr>
              <w:spacing w:line="300" w:lineRule="exact"/>
              <w:ind w:firstLine="0" w:firstLineChars="0"/>
              <w:jc w:val="left"/>
              <w:rPr>
                <w:color w:val="auto"/>
                <w:sz w:val="21"/>
                <w:highlight w:val="none"/>
              </w:rPr>
            </w:pPr>
            <w:r>
              <w:rPr>
                <w:color w:val="auto"/>
                <w:sz w:val="21"/>
                <w:highlight w:val="none"/>
              </w:rPr>
              <w:t>4</w:t>
            </w:r>
            <w:r>
              <w:rPr>
                <w:rFonts w:hint="eastAsia"/>
                <w:color w:val="auto"/>
                <w:sz w:val="21"/>
                <w:highlight w:val="none"/>
              </w:rPr>
              <w:t>、</w:t>
            </w:r>
            <w:r>
              <w:rPr>
                <w:color w:val="auto"/>
                <w:sz w:val="21"/>
                <w:highlight w:val="none"/>
              </w:rPr>
              <w:t>采用萃取工艺</w:t>
            </w:r>
            <w:r>
              <w:rPr>
                <w:rFonts w:hint="eastAsia"/>
                <w:color w:val="auto"/>
                <w:sz w:val="21"/>
                <w:highlight w:val="none"/>
              </w:rPr>
              <w:t>1.3</w:t>
            </w:r>
          </w:p>
          <w:p>
            <w:pPr>
              <w:spacing w:line="300" w:lineRule="exact"/>
              <w:ind w:firstLine="0" w:firstLineChars="0"/>
              <w:jc w:val="left"/>
              <w:rPr>
                <w:color w:val="auto"/>
                <w:sz w:val="21"/>
                <w:highlight w:val="none"/>
              </w:rPr>
            </w:pPr>
            <w:r>
              <w:rPr>
                <w:color w:val="auto"/>
                <w:sz w:val="21"/>
                <w:highlight w:val="none"/>
              </w:rPr>
              <w:t>5</w:t>
            </w:r>
            <w:r>
              <w:rPr>
                <w:rFonts w:hint="eastAsia"/>
                <w:color w:val="auto"/>
                <w:sz w:val="21"/>
                <w:highlight w:val="none"/>
              </w:rPr>
              <w:t>、</w:t>
            </w:r>
            <w:r>
              <w:rPr>
                <w:color w:val="auto"/>
                <w:sz w:val="21"/>
                <w:highlight w:val="none"/>
              </w:rPr>
              <w:t>采用果蔬原料直接生产</w:t>
            </w:r>
            <w:r>
              <w:rPr>
                <w:rFonts w:hint="eastAsia"/>
                <w:color w:val="auto"/>
                <w:sz w:val="21"/>
                <w:highlight w:val="none"/>
              </w:rPr>
              <w:t>2.5</w:t>
            </w:r>
            <w:r>
              <w:rPr>
                <w:color w:val="auto"/>
                <w:sz w:val="21"/>
                <w:highlight w:val="none"/>
              </w:rPr>
              <w:t xml:space="preserve"> </w:t>
            </w:r>
          </w:p>
        </w:tc>
        <w:tc>
          <w:tcPr>
            <w:tcW w:w="1811" w:type="dxa"/>
            <w:vMerge w:val="restart"/>
            <w:vAlign w:val="center"/>
          </w:tcPr>
          <w:p>
            <w:pPr>
              <w:spacing w:line="300" w:lineRule="exact"/>
              <w:ind w:firstLine="0" w:firstLineChars="0"/>
              <w:rPr>
                <w:color w:val="auto"/>
                <w:sz w:val="21"/>
                <w:highlight w:val="none"/>
              </w:rPr>
            </w:pPr>
            <w:r>
              <w:rPr>
                <w:rFonts w:hint="eastAsia"/>
                <w:color w:val="auto"/>
                <w:sz w:val="21"/>
                <w:highlight w:val="none"/>
              </w:rPr>
              <w:t>1、</w:t>
            </w:r>
            <w:r>
              <w:rPr>
                <w:color w:val="auto"/>
                <w:sz w:val="21"/>
                <w:highlight w:val="none"/>
              </w:rPr>
              <w:t>PET瓶外购，热灌装或无菌灌装</w:t>
            </w:r>
          </w:p>
          <w:p>
            <w:pPr>
              <w:spacing w:line="300" w:lineRule="exact"/>
              <w:ind w:firstLine="0" w:firstLineChars="0"/>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金属罐或玻璃瓶外购，热灌装</w:t>
            </w:r>
          </w:p>
          <w:p>
            <w:pPr>
              <w:spacing w:line="300" w:lineRule="exact"/>
              <w:ind w:firstLine="0" w:firstLineChars="0"/>
              <w:rPr>
                <w:color w:val="auto"/>
                <w:sz w:val="21"/>
                <w:highlight w:val="none"/>
              </w:rPr>
            </w:pPr>
            <w:r>
              <w:rPr>
                <w:color w:val="auto"/>
                <w:sz w:val="21"/>
                <w:highlight w:val="none"/>
              </w:rPr>
              <w:t>3</w:t>
            </w:r>
            <w:r>
              <w:rPr>
                <w:rFonts w:hint="eastAsia"/>
                <w:color w:val="auto"/>
                <w:sz w:val="21"/>
                <w:highlight w:val="none"/>
              </w:rPr>
              <w:t>、</w:t>
            </w:r>
            <w:r>
              <w:rPr>
                <w:color w:val="auto"/>
                <w:sz w:val="21"/>
                <w:highlight w:val="none"/>
              </w:rPr>
              <w:t>果蔬汁原料外购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30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20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植物蛋白饮料</w:t>
            </w:r>
          </w:p>
          <w:p>
            <w:pPr>
              <w:spacing w:line="300" w:lineRule="exact"/>
              <w:ind w:firstLine="0" w:firstLineChars="0"/>
              <w:jc w:val="center"/>
              <w:rPr>
                <w:color w:val="auto"/>
                <w:sz w:val="21"/>
                <w:highlight w:val="none"/>
              </w:rPr>
            </w:pPr>
            <w:r>
              <w:rPr>
                <w:rFonts w:hint="eastAsia"/>
                <w:color w:val="auto"/>
                <w:sz w:val="21"/>
                <w:highlight w:val="none"/>
              </w:rPr>
              <w:t>复合蛋白</w:t>
            </w:r>
            <w:r>
              <w:rPr>
                <w:color w:val="auto"/>
                <w:sz w:val="21"/>
                <w:highlight w:val="none"/>
              </w:rPr>
              <w:t>饮料</w:t>
            </w:r>
          </w:p>
          <w:p>
            <w:pPr>
              <w:spacing w:line="300" w:lineRule="exact"/>
              <w:ind w:firstLine="0" w:firstLineChars="0"/>
              <w:jc w:val="center"/>
              <w:rPr>
                <w:color w:val="auto"/>
                <w:sz w:val="21"/>
                <w:highlight w:val="none"/>
              </w:rPr>
            </w:pPr>
            <w:r>
              <w:rPr>
                <w:rFonts w:hint="eastAsia"/>
                <w:color w:val="auto"/>
                <w:sz w:val="21"/>
                <w:highlight w:val="none"/>
              </w:rPr>
              <w:t>咖啡</w:t>
            </w:r>
            <w:r>
              <w:rPr>
                <w:color w:val="auto"/>
                <w:sz w:val="21"/>
                <w:highlight w:val="none"/>
              </w:rPr>
              <w:t>饮料</w:t>
            </w:r>
          </w:p>
          <w:p>
            <w:pPr>
              <w:spacing w:line="300" w:lineRule="exact"/>
              <w:ind w:firstLine="0" w:firstLineChars="0"/>
              <w:jc w:val="center"/>
              <w:rPr>
                <w:color w:val="auto"/>
                <w:sz w:val="21"/>
                <w:highlight w:val="none"/>
              </w:rPr>
            </w:pPr>
            <w:r>
              <w:rPr>
                <w:rFonts w:hint="eastAsia"/>
                <w:color w:val="auto"/>
                <w:sz w:val="21"/>
                <w:highlight w:val="none"/>
              </w:rPr>
              <w:t>谷物</w:t>
            </w:r>
            <w:r>
              <w:rPr>
                <w:color w:val="auto"/>
                <w:sz w:val="21"/>
                <w:highlight w:val="none"/>
              </w:rPr>
              <w:t>饮料</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7</w:t>
            </w:r>
            <w:r>
              <w:rPr>
                <w:rFonts w:hint="eastAsia"/>
                <w:color w:val="auto"/>
                <w:sz w:val="21"/>
                <w:highlight w:val="none"/>
              </w:rPr>
              <w:t>0</w:t>
            </w:r>
          </w:p>
        </w:tc>
        <w:tc>
          <w:tcPr>
            <w:tcW w:w="3433" w:type="dxa"/>
            <w:vMerge w:val="restart"/>
            <w:vAlign w:val="center"/>
          </w:tcPr>
          <w:p>
            <w:pPr>
              <w:spacing w:line="300" w:lineRule="exact"/>
              <w:ind w:firstLine="0" w:firstLineChars="0"/>
              <w:jc w:val="left"/>
              <w:rPr>
                <w:color w:val="auto"/>
                <w:sz w:val="21"/>
                <w:highlight w:val="none"/>
              </w:rPr>
            </w:pPr>
            <w:r>
              <w:rPr>
                <w:rFonts w:hint="eastAsia"/>
                <w:color w:val="auto"/>
                <w:sz w:val="21"/>
                <w:highlight w:val="none"/>
              </w:rPr>
              <w:t>1、纸</w:t>
            </w:r>
            <w:r>
              <w:rPr>
                <w:color w:val="auto"/>
                <w:sz w:val="21"/>
                <w:highlight w:val="none"/>
              </w:rPr>
              <w:t>塑</w:t>
            </w:r>
            <w:r>
              <w:rPr>
                <w:rFonts w:hint="eastAsia"/>
                <w:color w:val="auto"/>
                <w:sz w:val="21"/>
                <w:highlight w:val="none"/>
              </w:rPr>
              <w:t>复合</w:t>
            </w:r>
            <w:r>
              <w:rPr>
                <w:color w:val="auto"/>
                <w:sz w:val="21"/>
                <w:highlight w:val="none"/>
              </w:rPr>
              <w:t>包装，无菌包装</w:t>
            </w:r>
            <w:r>
              <w:rPr>
                <w:rFonts w:hint="eastAsia"/>
                <w:color w:val="auto"/>
                <w:sz w:val="21"/>
                <w:highlight w:val="none"/>
              </w:rPr>
              <w:t>0.8</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PET瓶</w:t>
            </w:r>
            <w:r>
              <w:rPr>
                <w:rFonts w:hint="eastAsia"/>
                <w:color w:val="auto"/>
                <w:sz w:val="21"/>
                <w:highlight w:val="none"/>
              </w:rPr>
              <w:t>外购</w:t>
            </w:r>
            <w:r>
              <w:rPr>
                <w:color w:val="auto"/>
                <w:sz w:val="21"/>
                <w:highlight w:val="none"/>
              </w:rPr>
              <w:t>，无菌灌装</w:t>
            </w:r>
            <w:r>
              <w:rPr>
                <w:rFonts w:hint="eastAsia"/>
                <w:color w:val="auto"/>
                <w:sz w:val="21"/>
                <w:highlight w:val="none"/>
              </w:rPr>
              <w:t>0.</w:t>
            </w:r>
            <w:r>
              <w:rPr>
                <w:color w:val="auto"/>
                <w:sz w:val="21"/>
                <w:highlight w:val="none"/>
              </w:rPr>
              <w:t>8</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、外购PET</w:t>
            </w:r>
            <w:r>
              <w:rPr>
                <w:color w:val="auto"/>
                <w:sz w:val="21"/>
                <w:highlight w:val="none"/>
              </w:rPr>
              <w:t>瓶坯自吹瓶、无菌灌装</w:t>
            </w:r>
            <w:r>
              <w:rPr>
                <w:rFonts w:hint="eastAsia"/>
                <w:color w:val="auto"/>
                <w:sz w:val="21"/>
                <w:highlight w:val="none"/>
              </w:rPr>
              <w:t>0.9</w:t>
            </w:r>
          </w:p>
          <w:p>
            <w:pPr>
              <w:spacing w:line="300" w:lineRule="exact"/>
              <w:ind w:firstLine="0" w:firstLineChars="0"/>
              <w:jc w:val="left"/>
              <w:rPr>
                <w:color w:val="auto"/>
                <w:sz w:val="21"/>
                <w:highlight w:val="none"/>
              </w:rPr>
            </w:pPr>
            <w:r>
              <w:rPr>
                <w:color w:val="auto"/>
                <w:sz w:val="21"/>
                <w:highlight w:val="none"/>
              </w:rPr>
              <w:t>4</w:t>
            </w:r>
            <w:r>
              <w:rPr>
                <w:rFonts w:hint="eastAsia"/>
                <w:color w:val="auto"/>
                <w:sz w:val="21"/>
                <w:highlight w:val="none"/>
              </w:rPr>
              <w:t>、自</w:t>
            </w:r>
            <w:r>
              <w:rPr>
                <w:color w:val="auto"/>
                <w:sz w:val="21"/>
                <w:highlight w:val="none"/>
              </w:rPr>
              <w:t>制PP瓶</w:t>
            </w:r>
            <w:r>
              <w:rPr>
                <w:rFonts w:hint="eastAsia"/>
                <w:color w:val="auto"/>
                <w:sz w:val="21"/>
                <w:highlight w:val="none"/>
              </w:rPr>
              <w:t>1.1</w:t>
            </w:r>
          </w:p>
        </w:tc>
        <w:tc>
          <w:tcPr>
            <w:tcW w:w="1811" w:type="dxa"/>
            <w:vMerge w:val="restart"/>
            <w:vAlign w:val="center"/>
          </w:tcPr>
          <w:p>
            <w:pPr>
              <w:spacing w:line="300" w:lineRule="exact"/>
              <w:ind w:firstLine="0" w:firstLineChars="0"/>
              <w:rPr>
                <w:color w:val="auto"/>
                <w:sz w:val="21"/>
                <w:highlight w:val="none"/>
              </w:rPr>
            </w:pPr>
            <w:r>
              <w:rPr>
                <w:rFonts w:hint="eastAsia"/>
                <w:color w:val="auto"/>
                <w:sz w:val="21"/>
                <w:highlight w:val="none"/>
              </w:rPr>
              <w:t>1、</w:t>
            </w:r>
            <w:r>
              <w:rPr>
                <w:color w:val="auto"/>
                <w:sz w:val="21"/>
                <w:highlight w:val="none"/>
              </w:rPr>
              <w:t>金属罐</w:t>
            </w:r>
            <w:r>
              <w:rPr>
                <w:rFonts w:hint="eastAsia"/>
                <w:color w:val="auto"/>
                <w:sz w:val="21"/>
                <w:highlight w:val="none"/>
              </w:rPr>
              <w:t>、</w:t>
            </w:r>
            <w:r>
              <w:rPr>
                <w:color w:val="auto"/>
                <w:sz w:val="21"/>
                <w:highlight w:val="none"/>
              </w:rPr>
              <w:t>玻璃瓶</w:t>
            </w:r>
            <w:r>
              <w:rPr>
                <w:rFonts w:hint="eastAsia"/>
                <w:color w:val="auto"/>
                <w:sz w:val="21"/>
                <w:highlight w:val="none"/>
              </w:rPr>
              <w:t>和PP</w:t>
            </w:r>
            <w:r>
              <w:rPr>
                <w:color w:val="auto"/>
                <w:sz w:val="21"/>
                <w:highlight w:val="none"/>
              </w:rPr>
              <w:t>瓶外购，加压杀菌</w:t>
            </w:r>
          </w:p>
          <w:p>
            <w:pPr>
              <w:spacing w:line="300" w:lineRule="exact"/>
              <w:ind w:firstLine="0" w:firstLineChars="0"/>
              <w:rPr>
                <w:color w:val="auto"/>
                <w:sz w:val="21"/>
                <w:highlight w:val="none"/>
              </w:rPr>
            </w:pPr>
            <w:r>
              <w:rPr>
                <w:color w:val="auto"/>
                <w:sz w:val="21"/>
                <w:highlight w:val="none"/>
              </w:rPr>
              <w:t>2</w:t>
            </w:r>
            <w:r>
              <w:rPr>
                <w:rFonts w:hint="eastAsia"/>
                <w:color w:val="auto"/>
                <w:sz w:val="21"/>
                <w:highlight w:val="none"/>
              </w:rPr>
              <w:t>、自制</w:t>
            </w:r>
            <w:r>
              <w:rPr>
                <w:color w:val="auto"/>
                <w:sz w:val="21"/>
                <w:highlight w:val="none"/>
              </w:rPr>
              <w:t>PET瓶</w:t>
            </w:r>
            <w:r>
              <w:rPr>
                <w:rFonts w:hint="eastAsia"/>
                <w:color w:val="auto"/>
                <w:sz w:val="21"/>
                <w:highlight w:val="none"/>
              </w:rPr>
              <w:t>，</w:t>
            </w:r>
            <w:r>
              <w:rPr>
                <w:color w:val="auto"/>
                <w:sz w:val="21"/>
                <w:highlight w:val="none"/>
              </w:rPr>
              <w:t>无菌灌装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6</w:t>
            </w:r>
            <w:r>
              <w:rPr>
                <w:rFonts w:hint="eastAsia"/>
                <w:color w:val="auto"/>
                <w:sz w:val="21"/>
                <w:highlight w:val="none"/>
              </w:rPr>
              <w:t>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5</w:t>
            </w:r>
            <w:r>
              <w:rPr>
                <w:rFonts w:hint="eastAsia"/>
                <w:color w:val="auto"/>
                <w:sz w:val="21"/>
                <w:highlight w:val="none"/>
              </w:rPr>
              <w:t>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3"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含</w:t>
            </w:r>
            <w:r>
              <w:rPr>
                <w:color w:val="auto"/>
                <w:sz w:val="21"/>
                <w:highlight w:val="none"/>
              </w:rPr>
              <w:t>乳饮料</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65</w:t>
            </w:r>
          </w:p>
        </w:tc>
        <w:tc>
          <w:tcPr>
            <w:tcW w:w="3433" w:type="dxa"/>
            <w:vMerge w:val="restart"/>
            <w:vAlign w:val="center"/>
          </w:tcPr>
          <w:p>
            <w:pPr>
              <w:spacing w:line="300" w:lineRule="exact"/>
              <w:ind w:firstLine="0" w:firstLineChars="0"/>
              <w:jc w:val="left"/>
              <w:rPr>
                <w:color w:val="auto"/>
                <w:sz w:val="21"/>
                <w:highlight w:val="none"/>
              </w:rPr>
            </w:pPr>
            <w:r>
              <w:rPr>
                <w:rFonts w:hint="eastAsia"/>
                <w:color w:val="auto"/>
                <w:sz w:val="21"/>
                <w:highlight w:val="none"/>
              </w:rPr>
              <w:t>1、纸</w:t>
            </w:r>
            <w:r>
              <w:rPr>
                <w:color w:val="auto"/>
                <w:sz w:val="21"/>
                <w:highlight w:val="none"/>
              </w:rPr>
              <w:t>塑</w:t>
            </w:r>
            <w:r>
              <w:rPr>
                <w:rFonts w:hint="eastAsia"/>
                <w:color w:val="auto"/>
                <w:sz w:val="21"/>
                <w:highlight w:val="none"/>
              </w:rPr>
              <w:t>复合</w:t>
            </w:r>
            <w:r>
              <w:rPr>
                <w:color w:val="auto"/>
                <w:sz w:val="21"/>
                <w:highlight w:val="none"/>
              </w:rPr>
              <w:t>包装</w:t>
            </w:r>
            <w:r>
              <w:rPr>
                <w:rFonts w:hint="eastAsia"/>
                <w:color w:val="auto"/>
                <w:sz w:val="21"/>
                <w:highlight w:val="none"/>
              </w:rPr>
              <w:t>或</w:t>
            </w:r>
            <w:r>
              <w:rPr>
                <w:color w:val="auto"/>
                <w:sz w:val="21"/>
                <w:highlight w:val="none"/>
              </w:rPr>
              <w:t>塑料袋，无菌包装</w:t>
            </w:r>
            <w:r>
              <w:rPr>
                <w:rFonts w:hint="eastAsia"/>
                <w:color w:val="auto"/>
                <w:sz w:val="21"/>
                <w:highlight w:val="none"/>
              </w:rPr>
              <w:t>0.8</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PET瓶</w:t>
            </w:r>
            <w:r>
              <w:rPr>
                <w:rFonts w:hint="eastAsia"/>
                <w:color w:val="auto"/>
                <w:sz w:val="21"/>
                <w:highlight w:val="none"/>
              </w:rPr>
              <w:t>外购</w:t>
            </w:r>
            <w:r>
              <w:rPr>
                <w:color w:val="auto"/>
                <w:sz w:val="21"/>
                <w:highlight w:val="none"/>
              </w:rPr>
              <w:t>，无菌灌装</w:t>
            </w:r>
            <w:r>
              <w:rPr>
                <w:rFonts w:hint="eastAsia"/>
                <w:color w:val="auto"/>
                <w:sz w:val="21"/>
                <w:highlight w:val="none"/>
              </w:rPr>
              <w:t>0.</w:t>
            </w:r>
            <w:r>
              <w:rPr>
                <w:color w:val="auto"/>
                <w:sz w:val="21"/>
                <w:highlight w:val="none"/>
              </w:rPr>
              <w:t>8</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、外购PET</w:t>
            </w:r>
            <w:r>
              <w:rPr>
                <w:color w:val="auto"/>
                <w:sz w:val="21"/>
                <w:highlight w:val="none"/>
              </w:rPr>
              <w:t>瓶坯自吹瓶、无菌灌装</w:t>
            </w:r>
            <w:r>
              <w:rPr>
                <w:rFonts w:hint="eastAsia"/>
                <w:color w:val="auto"/>
                <w:sz w:val="21"/>
                <w:highlight w:val="none"/>
              </w:rPr>
              <w:t>0.9</w:t>
            </w:r>
          </w:p>
          <w:p>
            <w:pPr>
              <w:spacing w:line="300" w:lineRule="exact"/>
              <w:ind w:firstLine="0" w:firstLineChars="0"/>
              <w:jc w:val="left"/>
              <w:rPr>
                <w:color w:val="auto"/>
                <w:sz w:val="21"/>
                <w:highlight w:val="none"/>
              </w:rPr>
            </w:pPr>
            <w:r>
              <w:rPr>
                <w:color w:val="auto"/>
                <w:sz w:val="21"/>
                <w:highlight w:val="none"/>
              </w:rPr>
              <w:t>4</w:t>
            </w:r>
            <w:r>
              <w:rPr>
                <w:rFonts w:hint="eastAsia"/>
                <w:color w:val="auto"/>
                <w:sz w:val="21"/>
                <w:highlight w:val="none"/>
              </w:rPr>
              <w:t>、自</w:t>
            </w:r>
            <w:r>
              <w:rPr>
                <w:color w:val="auto"/>
                <w:sz w:val="21"/>
                <w:highlight w:val="none"/>
              </w:rPr>
              <w:t>制HDPE瓶</w:t>
            </w:r>
            <w:r>
              <w:rPr>
                <w:rFonts w:hint="eastAsia"/>
                <w:color w:val="auto"/>
                <w:sz w:val="21"/>
                <w:highlight w:val="none"/>
              </w:rPr>
              <w:t>1.1</w:t>
            </w:r>
          </w:p>
          <w:p>
            <w:pPr>
              <w:spacing w:line="300" w:lineRule="exact"/>
              <w:ind w:firstLine="0" w:firstLineChars="0"/>
              <w:jc w:val="left"/>
              <w:rPr>
                <w:color w:val="auto"/>
                <w:sz w:val="21"/>
                <w:highlight w:val="none"/>
              </w:rPr>
            </w:pPr>
            <w:r>
              <w:rPr>
                <w:color w:val="auto"/>
                <w:sz w:val="21"/>
                <w:highlight w:val="none"/>
              </w:rPr>
              <w:t>5</w:t>
            </w:r>
            <w:r>
              <w:rPr>
                <w:rFonts w:hint="eastAsia"/>
                <w:color w:val="auto"/>
                <w:sz w:val="21"/>
                <w:highlight w:val="none"/>
              </w:rPr>
              <w:t>、超洁净</w:t>
            </w:r>
            <w:r>
              <w:rPr>
                <w:color w:val="auto"/>
                <w:sz w:val="21"/>
                <w:highlight w:val="none"/>
              </w:rPr>
              <w:t>热灌装</w:t>
            </w:r>
            <w:r>
              <w:rPr>
                <w:rFonts w:hint="eastAsia"/>
                <w:color w:val="auto"/>
                <w:sz w:val="21"/>
                <w:highlight w:val="none"/>
              </w:rPr>
              <w:t>1.1</w:t>
            </w:r>
          </w:p>
          <w:p>
            <w:pPr>
              <w:spacing w:line="300" w:lineRule="exact"/>
              <w:ind w:firstLine="0" w:firstLineChars="0"/>
              <w:jc w:val="left"/>
              <w:rPr>
                <w:color w:val="auto"/>
                <w:sz w:val="21"/>
                <w:highlight w:val="none"/>
              </w:rPr>
            </w:pPr>
            <w:r>
              <w:rPr>
                <w:color w:val="auto"/>
                <w:sz w:val="21"/>
                <w:highlight w:val="none"/>
              </w:rPr>
              <w:t>6</w:t>
            </w:r>
            <w:r>
              <w:rPr>
                <w:rFonts w:hint="eastAsia"/>
                <w:color w:val="auto"/>
                <w:sz w:val="21"/>
                <w:highlight w:val="none"/>
              </w:rPr>
              <w:t>、</w:t>
            </w:r>
            <w:r>
              <w:rPr>
                <w:color w:val="auto"/>
                <w:sz w:val="21"/>
                <w:highlight w:val="none"/>
              </w:rPr>
              <w:t>添加</w:t>
            </w:r>
            <w:r>
              <w:rPr>
                <w:rFonts w:hint="eastAsia"/>
                <w:color w:val="auto"/>
                <w:sz w:val="21"/>
                <w:highlight w:val="none"/>
              </w:rPr>
              <w:t>直接</w:t>
            </w:r>
            <w:r>
              <w:rPr>
                <w:color w:val="auto"/>
                <w:sz w:val="21"/>
                <w:highlight w:val="none"/>
              </w:rPr>
              <w:t>萃取植物成分</w:t>
            </w:r>
            <w:r>
              <w:rPr>
                <w:rFonts w:hint="eastAsia"/>
                <w:color w:val="auto"/>
                <w:sz w:val="21"/>
                <w:highlight w:val="none"/>
              </w:rPr>
              <w:t>1.1</w:t>
            </w:r>
          </w:p>
          <w:p>
            <w:pPr>
              <w:spacing w:line="300" w:lineRule="exact"/>
              <w:ind w:firstLine="0" w:firstLineChars="0"/>
              <w:jc w:val="left"/>
              <w:rPr>
                <w:color w:val="auto"/>
                <w:sz w:val="21"/>
                <w:highlight w:val="none"/>
              </w:rPr>
            </w:pPr>
            <w:r>
              <w:rPr>
                <w:color w:val="auto"/>
                <w:sz w:val="21"/>
                <w:highlight w:val="none"/>
              </w:rPr>
              <w:t>7</w:t>
            </w:r>
            <w:r>
              <w:rPr>
                <w:rFonts w:hint="eastAsia"/>
                <w:color w:val="auto"/>
                <w:sz w:val="21"/>
                <w:highlight w:val="none"/>
              </w:rPr>
              <w:t>、</w:t>
            </w:r>
            <w:r>
              <w:rPr>
                <w:color w:val="auto"/>
                <w:sz w:val="21"/>
                <w:highlight w:val="none"/>
              </w:rPr>
              <w:t>原料为奶粉</w:t>
            </w:r>
            <w:r>
              <w:rPr>
                <w:rFonts w:hint="eastAsia"/>
                <w:color w:val="auto"/>
                <w:sz w:val="21"/>
                <w:highlight w:val="none"/>
              </w:rPr>
              <w:t>0.85</w:t>
            </w:r>
          </w:p>
        </w:tc>
        <w:tc>
          <w:tcPr>
            <w:tcW w:w="1811" w:type="dxa"/>
            <w:vMerge w:val="restart"/>
            <w:vAlign w:val="center"/>
          </w:tcPr>
          <w:p>
            <w:pPr>
              <w:spacing w:line="300" w:lineRule="exact"/>
              <w:ind w:firstLine="0" w:firstLineChars="0"/>
              <w:rPr>
                <w:color w:val="auto"/>
                <w:sz w:val="21"/>
                <w:highlight w:val="none"/>
              </w:rPr>
            </w:pPr>
            <w:r>
              <w:rPr>
                <w:rFonts w:hint="eastAsia"/>
                <w:color w:val="auto"/>
                <w:sz w:val="21"/>
                <w:highlight w:val="none"/>
              </w:rPr>
              <w:t>1、玻璃瓶</w:t>
            </w:r>
            <w:r>
              <w:rPr>
                <w:color w:val="auto"/>
                <w:sz w:val="21"/>
                <w:highlight w:val="none"/>
              </w:rPr>
              <w:t>和</w:t>
            </w:r>
            <w:r>
              <w:rPr>
                <w:rFonts w:hint="eastAsia"/>
                <w:color w:val="auto"/>
                <w:sz w:val="21"/>
                <w:highlight w:val="none"/>
              </w:rPr>
              <w:t>HDPE（高</w:t>
            </w:r>
            <w:r>
              <w:rPr>
                <w:color w:val="auto"/>
                <w:sz w:val="21"/>
                <w:highlight w:val="none"/>
              </w:rPr>
              <w:t>密度聚乙烯</w:t>
            </w:r>
            <w:r>
              <w:rPr>
                <w:rFonts w:hint="eastAsia"/>
                <w:color w:val="auto"/>
                <w:sz w:val="21"/>
                <w:highlight w:val="none"/>
              </w:rPr>
              <w:t>）瓶</w:t>
            </w:r>
            <w:r>
              <w:rPr>
                <w:color w:val="auto"/>
                <w:sz w:val="21"/>
                <w:highlight w:val="none"/>
              </w:rPr>
              <w:t>外购，热灌装或</w:t>
            </w:r>
            <w:r>
              <w:rPr>
                <w:rFonts w:hint="eastAsia"/>
                <w:color w:val="auto"/>
                <w:sz w:val="21"/>
                <w:highlight w:val="none"/>
              </w:rPr>
              <w:t>常压</w:t>
            </w:r>
            <w:r>
              <w:rPr>
                <w:color w:val="auto"/>
                <w:sz w:val="21"/>
                <w:highlight w:val="none"/>
              </w:rPr>
              <w:t>杀菌</w:t>
            </w:r>
          </w:p>
          <w:p>
            <w:pPr>
              <w:spacing w:line="300" w:lineRule="exact"/>
              <w:ind w:firstLine="0" w:firstLineChars="0"/>
              <w:rPr>
                <w:color w:val="auto"/>
                <w:sz w:val="21"/>
                <w:highlight w:val="none"/>
              </w:rPr>
            </w:pPr>
            <w:r>
              <w:rPr>
                <w:color w:val="auto"/>
                <w:sz w:val="21"/>
                <w:highlight w:val="none"/>
              </w:rPr>
              <w:t>2</w:t>
            </w:r>
            <w:r>
              <w:rPr>
                <w:rFonts w:hint="eastAsia"/>
                <w:color w:val="auto"/>
                <w:sz w:val="21"/>
                <w:highlight w:val="none"/>
              </w:rPr>
              <w:t>、自制</w:t>
            </w:r>
            <w:r>
              <w:rPr>
                <w:color w:val="auto"/>
                <w:sz w:val="21"/>
                <w:highlight w:val="none"/>
              </w:rPr>
              <w:t>PET瓶</w:t>
            </w:r>
            <w:r>
              <w:rPr>
                <w:rFonts w:hint="eastAsia"/>
                <w:color w:val="auto"/>
                <w:sz w:val="21"/>
                <w:highlight w:val="none"/>
              </w:rPr>
              <w:t>，</w:t>
            </w:r>
            <w:r>
              <w:rPr>
                <w:color w:val="auto"/>
                <w:sz w:val="21"/>
                <w:highlight w:val="none"/>
              </w:rPr>
              <w:t>无菌灌装</w:t>
            </w:r>
          </w:p>
          <w:p>
            <w:pPr>
              <w:spacing w:line="300" w:lineRule="exact"/>
              <w:ind w:firstLine="0" w:firstLineChars="0"/>
              <w:rPr>
                <w:color w:val="auto"/>
                <w:sz w:val="21"/>
                <w:highlight w:val="none"/>
              </w:rPr>
            </w:pPr>
            <w:r>
              <w:rPr>
                <w:rFonts w:hint="eastAsia"/>
                <w:color w:val="auto"/>
                <w:sz w:val="21"/>
                <w:highlight w:val="none"/>
              </w:rPr>
              <w:t>3、</w:t>
            </w:r>
            <w:r>
              <w:rPr>
                <w:color w:val="auto"/>
                <w:sz w:val="21"/>
                <w:highlight w:val="none"/>
              </w:rPr>
              <w:t>原料为鲜奶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3"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55</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45</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固体</w:t>
            </w:r>
            <w:r>
              <w:rPr>
                <w:color w:val="auto"/>
                <w:sz w:val="21"/>
                <w:highlight w:val="none"/>
              </w:rPr>
              <w:t>饮料</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45</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1、湿混</w:t>
            </w:r>
            <w:r>
              <w:rPr>
                <w:color w:val="auto"/>
                <w:sz w:val="21"/>
                <w:highlight w:val="none"/>
              </w:rPr>
              <w:t>加工</w:t>
            </w:r>
            <w:r>
              <w:rPr>
                <w:rFonts w:hint="eastAsia"/>
                <w:color w:val="auto"/>
                <w:sz w:val="21"/>
                <w:highlight w:val="none"/>
              </w:rPr>
              <w:t>7</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、喷雾干燥</w:t>
            </w:r>
            <w:r>
              <w:rPr>
                <w:color w:val="auto"/>
                <w:sz w:val="21"/>
                <w:highlight w:val="none"/>
              </w:rPr>
              <w:t>工艺</w:t>
            </w:r>
            <w:r>
              <w:rPr>
                <w:rFonts w:hint="eastAsia"/>
                <w:color w:val="auto"/>
                <w:sz w:val="21"/>
                <w:highlight w:val="none"/>
              </w:rPr>
              <w:t>50</w:t>
            </w:r>
          </w:p>
        </w:tc>
        <w:tc>
          <w:tcPr>
            <w:tcW w:w="1811" w:type="dxa"/>
            <w:vMerge w:val="restart"/>
            <w:vAlign w:val="center"/>
          </w:tcPr>
          <w:p>
            <w:pPr>
              <w:spacing w:line="300" w:lineRule="exact"/>
              <w:ind w:firstLine="0" w:firstLineChars="0"/>
              <w:jc w:val="left"/>
              <w:rPr>
                <w:color w:val="auto"/>
                <w:sz w:val="21"/>
                <w:highlight w:val="none"/>
              </w:rPr>
            </w:pPr>
            <w:r>
              <w:rPr>
                <w:rFonts w:hint="eastAsia"/>
                <w:color w:val="auto"/>
                <w:sz w:val="21"/>
                <w:highlight w:val="none"/>
              </w:rPr>
              <w:t>干混</w:t>
            </w:r>
            <w:r>
              <w:rPr>
                <w:color w:val="auto"/>
                <w:sz w:val="21"/>
                <w:highlight w:val="none"/>
              </w:rPr>
              <w:t>加工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35</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1、湿混</w:t>
            </w:r>
            <w:r>
              <w:rPr>
                <w:color w:val="auto"/>
                <w:sz w:val="21"/>
                <w:highlight w:val="none"/>
              </w:rPr>
              <w:t>加工8</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、喷雾干燥</w:t>
            </w:r>
            <w:r>
              <w:rPr>
                <w:color w:val="auto"/>
                <w:sz w:val="21"/>
                <w:highlight w:val="none"/>
              </w:rPr>
              <w:t>工艺55</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25</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1、湿混</w:t>
            </w:r>
            <w:r>
              <w:rPr>
                <w:color w:val="auto"/>
                <w:sz w:val="21"/>
                <w:highlight w:val="none"/>
              </w:rPr>
              <w:t>加工10</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、喷雾干燥</w:t>
            </w:r>
            <w:r>
              <w:rPr>
                <w:color w:val="auto"/>
                <w:sz w:val="21"/>
                <w:highlight w:val="none"/>
              </w:rPr>
              <w:t>工艺70</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浓缩</w:t>
            </w:r>
            <w:r>
              <w:rPr>
                <w:color w:val="auto"/>
                <w:sz w:val="21"/>
                <w:highlight w:val="none"/>
              </w:rPr>
              <w:t>果蔬汁</w:t>
            </w:r>
          </w:p>
          <w:p>
            <w:pPr>
              <w:spacing w:line="300" w:lineRule="exact"/>
              <w:ind w:firstLine="0" w:firstLineChars="0"/>
              <w:jc w:val="center"/>
              <w:rPr>
                <w:color w:val="auto"/>
                <w:sz w:val="21"/>
                <w:highlight w:val="none"/>
              </w:rPr>
            </w:pPr>
            <w:r>
              <w:rPr>
                <w:rFonts w:hint="eastAsia"/>
                <w:color w:val="auto"/>
                <w:sz w:val="21"/>
                <w:highlight w:val="none"/>
              </w:rPr>
              <w:t>果蔬</w:t>
            </w:r>
            <w:r>
              <w:rPr>
                <w:color w:val="auto"/>
                <w:sz w:val="21"/>
                <w:highlight w:val="none"/>
              </w:rPr>
              <w:t>原浆</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600</w:t>
            </w:r>
          </w:p>
        </w:tc>
        <w:tc>
          <w:tcPr>
            <w:tcW w:w="3433" w:type="dxa"/>
            <w:vMerge w:val="restart"/>
            <w:vAlign w:val="center"/>
          </w:tcPr>
          <w:p>
            <w:pPr>
              <w:spacing w:line="300" w:lineRule="exact"/>
              <w:ind w:firstLine="0" w:firstLineChars="0"/>
              <w:jc w:val="left"/>
              <w:rPr>
                <w:color w:val="auto"/>
                <w:sz w:val="21"/>
                <w:highlight w:val="none"/>
              </w:rPr>
            </w:pPr>
            <w:r>
              <w:rPr>
                <w:rFonts w:hint="eastAsia"/>
                <w:color w:val="auto"/>
                <w:sz w:val="21"/>
                <w:highlight w:val="none"/>
              </w:rPr>
              <w:t>果蔬原浆0.15</w:t>
            </w:r>
          </w:p>
        </w:tc>
        <w:tc>
          <w:tcPr>
            <w:tcW w:w="1811" w:type="dxa"/>
            <w:vMerge w:val="restart"/>
            <w:vAlign w:val="center"/>
          </w:tcPr>
          <w:p>
            <w:pPr>
              <w:spacing w:line="300" w:lineRule="exact"/>
              <w:ind w:firstLine="0" w:firstLineChars="0"/>
              <w:rPr>
                <w:color w:val="auto"/>
                <w:sz w:val="21"/>
                <w:highlight w:val="none"/>
              </w:rPr>
            </w:pPr>
            <w:r>
              <w:rPr>
                <w:rFonts w:hint="eastAsia"/>
                <w:color w:val="auto"/>
                <w:sz w:val="21"/>
                <w:highlight w:val="none"/>
              </w:rPr>
              <w:t>1、2</w:t>
            </w:r>
            <w:r>
              <w:rPr>
                <w:color w:val="auto"/>
                <w:sz w:val="21"/>
                <w:highlight w:val="none"/>
              </w:rPr>
              <w:t>00L以上大袋无菌包装</w:t>
            </w:r>
          </w:p>
          <w:p>
            <w:pPr>
              <w:spacing w:line="300" w:lineRule="exact"/>
              <w:ind w:firstLine="0" w:firstLineChars="0"/>
              <w:rPr>
                <w:color w:val="auto"/>
                <w:sz w:val="21"/>
                <w:highlight w:val="none"/>
              </w:rPr>
            </w:pPr>
            <w:r>
              <w:rPr>
                <w:color w:val="auto"/>
                <w:sz w:val="21"/>
                <w:highlight w:val="none"/>
              </w:rPr>
              <w:t>2</w:t>
            </w:r>
            <w:r>
              <w:rPr>
                <w:rFonts w:hint="eastAsia"/>
                <w:color w:val="auto"/>
                <w:sz w:val="21"/>
                <w:highlight w:val="none"/>
              </w:rPr>
              <w:t>、浓缩果蔬汁</w:t>
            </w:r>
            <w:r>
              <w:rPr>
                <w:color w:val="auto"/>
                <w:sz w:val="21"/>
                <w:highlight w:val="none"/>
              </w:rPr>
              <w:t>浓度不小于</w:t>
            </w:r>
            <w:r>
              <w:rPr>
                <w:rFonts w:hint="eastAsia"/>
                <w:color w:val="auto"/>
                <w:sz w:val="21"/>
                <w:highlight w:val="none"/>
              </w:rPr>
              <w:t>60</w:t>
            </w:r>
            <w:r>
              <w:rPr>
                <w:color w:val="auto"/>
                <w:sz w:val="21"/>
                <w:highlight w:val="none"/>
              </w:rPr>
              <w:t>%，热浓缩工艺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500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400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8420" w:type="dxa"/>
            <w:gridSpan w:val="5"/>
            <w:vAlign w:val="center"/>
          </w:tcPr>
          <w:p>
            <w:pPr>
              <w:spacing w:line="300" w:lineRule="exact"/>
              <w:ind w:firstLine="0" w:firstLineChars="0"/>
              <w:jc w:val="left"/>
              <w:rPr>
                <w:color w:val="auto"/>
                <w:sz w:val="21"/>
                <w:highlight w:val="none"/>
              </w:rPr>
            </w:pPr>
            <w:r>
              <w:rPr>
                <w:rFonts w:hint="eastAsia"/>
                <w:color w:val="auto"/>
                <w:sz w:val="21"/>
                <w:highlight w:val="none"/>
              </w:rPr>
              <w:t>注：当</w:t>
            </w:r>
            <w:r>
              <w:rPr>
                <w:color w:val="auto"/>
                <w:sz w:val="21"/>
                <w:highlight w:val="none"/>
              </w:rPr>
              <w:t>某个</w:t>
            </w:r>
            <w:r>
              <w:rPr>
                <w:rFonts w:hint="eastAsia"/>
                <w:color w:val="auto"/>
                <w:sz w:val="21"/>
                <w:highlight w:val="none"/>
              </w:rPr>
              <w:t>饮料</w:t>
            </w:r>
            <w:r>
              <w:rPr>
                <w:color w:val="auto"/>
                <w:sz w:val="21"/>
                <w:highlight w:val="none"/>
              </w:rPr>
              <w:t>品种具有两个以上调节系数时</w:t>
            </w:r>
            <w:r>
              <w:rPr>
                <w:rFonts w:hint="eastAsia"/>
                <w:color w:val="auto"/>
                <w:sz w:val="21"/>
                <w:highlight w:val="none"/>
              </w:rPr>
              <w:t>，</w:t>
            </w:r>
            <w:r>
              <w:rPr>
                <w:color w:val="auto"/>
                <w:sz w:val="21"/>
                <w:highlight w:val="none"/>
              </w:rPr>
              <w:t>其总调节系数</w:t>
            </w:r>
            <w:r>
              <w:rPr>
                <w:rFonts w:hint="eastAsia"/>
                <w:color w:val="auto"/>
                <w:sz w:val="21"/>
                <w:highlight w:val="none"/>
              </w:rPr>
              <w:t>是</w:t>
            </w:r>
            <w:r>
              <w:rPr>
                <w:color w:val="auto"/>
                <w:sz w:val="21"/>
                <w:highlight w:val="none"/>
              </w:rPr>
              <w:t>多个调节系数的乘积</w:t>
            </w:r>
            <w:r>
              <w:rPr>
                <w:rFonts w:hint="eastAsia"/>
                <w:color w:val="auto"/>
                <w:sz w:val="21"/>
                <w:highlight w:val="none"/>
              </w:rPr>
              <w:t>；</w:t>
            </w:r>
            <w:r>
              <w:rPr>
                <w:color w:val="auto"/>
                <w:sz w:val="21"/>
                <w:highlight w:val="none"/>
              </w:rPr>
              <w:t>各饮料的</w:t>
            </w:r>
            <w:r>
              <w:rPr>
                <w:rFonts w:hint="eastAsia"/>
                <w:color w:val="auto"/>
                <w:sz w:val="21"/>
                <w:highlight w:val="none"/>
              </w:rPr>
              <w:t>综合</w:t>
            </w:r>
            <w:r>
              <w:rPr>
                <w:color w:val="auto"/>
                <w:sz w:val="21"/>
                <w:highlight w:val="none"/>
              </w:rPr>
              <w:t>能耗限额均不包括冷冻干燥和非热加工技术生产的产品。</w:t>
            </w:r>
          </w:p>
        </w:tc>
      </w:tr>
    </w:tbl>
    <w:p>
      <w:pPr>
        <w:spacing w:line="240" w:lineRule="auto"/>
        <w:ind w:firstLine="0" w:firstLineChars="0"/>
        <w:rPr>
          <w:color w:val="auto"/>
          <w:sz w:val="22"/>
          <w:highlight w:val="none"/>
        </w:rPr>
      </w:pPr>
    </w:p>
    <w:p>
      <w:pPr>
        <w:ind w:firstLine="560"/>
        <w:rPr>
          <w:color w:val="auto"/>
          <w:highlight w:val="none"/>
        </w:rPr>
      </w:pPr>
      <w:r>
        <w:rPr>
          <w:rFonts w:hint="eastAsia"/>
          <w:color w:val="auto"/>
          <w:highlight w:val="none"/>
        </w:rPr>
        <w:t>红牛维他命饮料（湖北）有限公司单位产品综合能耗19.11kgce/t，达到《饮料制造综合能耗限额》（QBT 4069-2010）规定的先进值20.00kgce/t要求。湖北奥瑞金饮料工业有限公司、今麦郎饮品（咸宁）有限公司由于</w:t>
      </w:r>
      <w:r>
        <w:rPr>
          <w:color w:val="auto"/>
          <w:highlight w:val="none"/>
        </w:rPr>
        <w:t>产品种类</w:t>
      </w:r>
      <w:r>
        <w:rPr>
          <w:rFonts w:hint="eastAsia"/>
          <w:color w:val="auto"/>
          <w:highlight w:val="none"/>
        </w:rPr>
        <w:t>较多</w:t>
      </w:r>
      <w:r>
        <w:rPr>
          <w:color w:val="auto"/>
          <w:highlight w:val="none"/>
        </w:rPr>
        <w:t>，</w:t>
      </w:r>
      <w:r>
        <w:rPr>
          <w:rFonts w:hint="eastAsia"/>
          <w:color w:val="auto"/>
          <w:highlight w:val="none"/>
        </w:rPr>
        <w:t>尚未对单位产品综合能耗进行</w:t>
      </w:r>
      <w:r>
        <w:rPr>
          <w:color w:val="auto"/>
          <w:highlight w:val="none"/>
        </w:rPr>
        <w:t>测算</w:t>
      </w:r>
      <w:r>
        <w:rPr>
          <w:rFonts w:hint="eastAsia"/>
          <w:color w:val="auto"/>
          <w:highlight w:val="none"/>
        </w:rPr>
        <w:t>和对标</w:t>
      </w:r>
      <w:r>
        <w:rPr>
          <w:color w:val="auto"/>
          <w:highlight w:val="none"/>
        </w:rPr>
        <w:t>。</w:t>
      </w:r>
    </w:p>
    <w:p>
      <w:pPr>
        <w:pStyle w:val="4"/>
        <w:numPr>
          <w:ilvl w:val="2"/>
          <w:numId w:val="2"/>
        </w:numPr>
        <w:ind w:left="709" w:hanging="709"/>
        <w:rPr>
          <w:color w:val="auto"/>
          <w:highlight w:val="none"/>
        </w:rPr>
      </w:pPr>
      <w:bookmarkStart w:id="48" w:name="_Toc28487"/>
      <w:r>
        <w:rPr>
          <w:rFonts w:hint="eastAsia"/>
          <w:color w:val="auto"/>
          <w:highlight w:val="none"/>
        </w:rPr>
        <w:t>其它行业</w:t>
      </w:r>
      <w:bookmarkEnd w:id="48"/>
    </w:p>
    <w:p>
      <w:pPr>
        <w:ind w:firstLine="560"/>
        <w:rPr>
          <w:color w:val="auto"/>
          <w:highlight w:val="none"/>
        </w:rPr>
      </w:pPr>
      <w:r>
        <w:rPr>
          <w:rFonts w:hint="eastAsia"/>
          <w:color w:val="auto"/>
          <w:highlight w:val="none"/>
        </w:rPr>
        <w:t>（1）高新区</w:t>
      </w:r>
      <w:r>
        <w:rPr>
          <w:color w:val="auto"/>
          <w:highlight w:val="none"/>
        </w:rPr>
        <w:t>纺织企业</w:t>
      </w:r>
      <w:r>
        <w:rPr>
          <w:rFonts w:hint="eastAsia"/>
          <w:color w:val="auto"/>
          <w:highlight w:val="none"/>
        </w:rPr>
        <w:t>主要</w:t>
      </w:r>
      <w:r>
        <w:rPr>
          <w:color w:val="auto"/>
          <w:highlight w:val="none"/>
        </w:rPr>
        <w:t>为</w:t>
      </w:r>
      <w:r>
        <w:rPr>
          <w:rFonts w:hint="eastAsia"/>
          <w:color w:val="auto"/>
          <w:highlight w:val="none"/>
        </w:rPr>
        <w:t>天化</w:t>
      </w:r>
      <w:r>
        <w:rPr>
          <w:color w:val="auto"/>
          <w:highlight w:val="none"/>
        </w:rPr>
        <w:t>麻业、</w:t>
      </w:r>
      <w:r>
        <w:rPr>
          <w:rFonts w:hint="eastAsia"/>
          <w:color w:val="auto"/>
          <w:highlight w:val="none"/>
        </w:rPr>
        <w:t>瑞雅毛巾、维新纺织等</w:t>
      </w:r>
      <w:r>
        <w:rPr>
          <w:color w:val="auto"/>
          <w:highlight w:val="none"/>
        </w:rPr>
        <w:t>企业</w:t>
      </w:r>
      <w:r>
        <w:rPr>
          <w:rFonts w:hint="eastAsia"/>
          <w:color w:val="auto"/>
          <w:highlight w:val="none"/>
        </w:rPr>
        <w:t>，</w:t>
      </w:r>
      <w:r>
        <w:rPr>
          <w:color w:val="auto"/>
          <w:highlight w:val="none"/>
        </w:rPr>
        <w:t>其中耗能最多的天化麻业</w:t>
      </w:r>
      <w:r>
        <w:rPr>
          <w:rFonts w:hint="eastAsia"/>
          <w:color w:val="auto"/>
          <w:highlight w:val="none"/>
        </w:rPr>
        <w:t>主要生产苎麻棉混纺本色纱线，吨产品能耗为0.44kgce/t，由于主要产品为苎麻棉混纺纱线，暂无对应能耗限额标准。</w:t>
      </w:r>
    </w:p>
    <w:p>
      <w:pPr>
        <w:ind w:firstLine="560"/>
        <w:rPr>
          <w:color w:val="auto"/>
          <w:highlight w:val="none"/>
        </w:rPr>
      </w:pPr>
      <w:r>
        <w:rPr>
          <w:rFonts w:hint="eastAsia"/>
          <w:color w:val="auto"/>
          <w:highlight w:val="none"/>
        </w:rPr>
        <w:t>（2）区内仅有</w:t>
      </w:r>
      <w:r>
        <w:rPr>
          <w:color w:val="auto"/>
          <w:highlight w:val="none"/>
        </w:rPr>
        <w:t>的一家造纸企业——</w:t>
      </w:r>
      <w:r>
        <w:rPr>
          <w:rFonts w:hint="eastAsia"/>
          <w:color w:val="auto"/>
          <w:highlight w:val="none"/>
        </w:rPr>
        <w:t>恒丰纸业主要</w:t>
      </w:r>
      <w:r>
        <w:rPr>
          <w:color w:val="auto"/>
          <w:highlight w:val="none"/>
        </w:rPr>
        <w:t>产品</w:t>
      </w:r>
      <w:r>
        <w:rPr>
          <w:rFonts w:hint="eastAsia"/>
          <w:color w:val="auto"/>
          <w:highlight w:val="none"/>
        </w:rPr>
        <w:t>铝箔衬纸单位产品能耗为467kgce/t，由于工艺技术要求，其单位产品能耗高于常规纸品，暂无对应能耗限额标准。</w:t>
      </w:r>
    </w:p>
    <w:p>
      <w:pPr>
        <w:ind w:firstLine="560"/>
        <w:rPr>
          <w:color w:val="auto"/>
          <w:highlight w:val="none"/>
        </w:rPr>
      </w:pPr>
      <w:r>
        <w:rPr>
          <w:rFonts w:hint="eastAsia"/>
          <w:color w:val="auto"/>
          <w:highlight w:val="none"/>
        </w:rPr>
        <w:t>（3）区域</w:t>
      </w:r>
      <w:r>
        <w:rPr>
          <w:color w:val="auto"/>
          <w:highlight w:val="none"/>
        </w:rPr>
        <w:t>金属制品业</w:t>
      </w:r>
      <w:r>
        <w:rPr>
          <w:rFonts w:hint="eastAsia"/>
          <w:color w:val="auto"/>
          <w:highlight w:val="none"/>
        </w:rPr>
        <w:t>主要</w:t>
      </w:r>
      <w:r>
        <w:rPr>
          <w:color w:val="auto"/>
          <w:highlight w:val="none"/>
        </w:rPr>
        <w:t>为金属包装</w:t>
      </w:r>
      <w:r>
        <w:rPr>
          <w:rFonts w:hint="eastAsia"/>
          <w:color w:val="auto"/>
          <w:highlight w:val="none"/>
        </w:rPr>
        <w:t>制罐行业</w:t>
      </w:r>
      <w:r>
        <w:rPr>
          <w:color w:val="auto"/>
          <w:highlight w:val="none"/>
        </w:rPr>
        <w:t>，</w:t>
      </w:r>
      <w:r>
        <w:rPr>
          <w:rFonts w:hint="eastAsia"/>
          <w:color w:val="auto"/>
          <w:highlight w:val="none"/>
        </w:rPr>
        <w:t>暂无对应能耗限额标准</w:t>
      </w:r>
      <w:r>
        <w:rPr>
          <w:color w:val="auto"/>
          <w:highlight w:val="none"/>
        </w:rPr>
        <w:t>。</w:t>
      </w:r>
    </w:p>
    <w:p>
      <w:pPr>
        <w:pStyle w:val="3"/>
        <w:numPr>
          <w:ilvl w:val="1"/>
          <w:numId w:val="2"/>
        </w:numPr>
        <w:ind w:left="567" w:hanging="567"/>
        <w:rPr>
          <w:color w:val="auto"/>
          <w:highlight w:val="none"/>
        </w:rPr>
      </w:pPr>
      <w:bookmarkStart w:id="49" w:name="_Toc1894"/>
      <w:r>
        <w:rPr>
          <w:rFonts w:hint="eastAsia"/>
          <w:color w:val="auto"/>
          <w:highlight w:val="none"/>
        </w:rPr>
        <w:t>区域主要企业用能分析</w:t>
      </w:r>
      <w:bookmarkEnd w:id="49"/>
    </w:p>
    <w:p>
      <w:pPr>
        <w:ind w:firstLine="560"/>
        <w:rPr>
          <w:color w:val="auto"/>
          <w:highlight w:val="none"/>
        </w:rPr>
      </w:pPr>
      <w:r>
        <w:rPr>
          <w:rFonts w:hint="eastAsia"/>
          <w:color w:val="auto"/>
          <w:highlight w:val="none"/>
        </w:rPr>
        <w:t>根据开发区统计部门提供的能源消耗量统计数据，20</w:t>
      </w:r>
      <w:r>
        <w:rPr>
          <w:rFonts w:hint="eastAsia"/>
          <w:color w:val="auto"/>
          <w:highlight w:val="none"/>
          <w:lang w:val="en-US" w:eastAsia="zh-CN"/>
        </w:rPr>
        <w:t>22</w:t>
      </w:r>
      <w:r>
        <w:rPr>
          <w:rFonts w:hint="eastAsia"/>
          <w:color w:val="auto"/>
          <w:highlight w:val="none"/>
        </w:rPr>
        <w:t>年能源消费量在5000吨标准煤以上的企业重点用能企业达</w:t>
      </w:r>
      <w:r>
        <w:rPr>
          <w:color w:val="auto"/>
          <w:highlight w:val="none"/>
        </w:rPr>
        <w:t>4</w:t>
      </w:r>
      <w:r>
        <w:rPr>
          <w:rFonts w:hint="eastAsia"/>
          <w:color w:val="auto"/>
          <w:highlight w:val="none"/>
        </w:rPr>
        <w:t>家，为玻璃制造</w:t>
      </w:r>
      <w:r>
        <w:rPr>
          <w:color w:val="auto"/>
          <w:highlight w:val="none"/>
        </w:rPr>
        <w:t>和饮料生产</w:t>
      </w:r>
      <w:r>
        <w:rPr>
          <w:rFonts w:hint="eastAsia"/>
          <w:color w:val="auto"/>
          <w:highlight w:val="none"/>
        </w:rPr>
        <w:t>企业；万吨以上企业</w:t>
      </w:r>
      <w:r>
        <w:rPr>
          <w:color w:val="auto"/>
          <w:highlight w:val="none"/>
        </w:rPr>
        <w:t>2</w:t>
      </w:r>
      <w:r>
        <w:rPr>
          <w:rFonts w:hint="eastAsia"/>
          <w:color w:val="auto"/>
          <w:highlight w:val="none"/>
        </w:rPr>
        <w:t>家，均为</w:t>
      </w:r>
      <w:r>
        <w:rPr>
          <w:color w:val="auto"/>
          <w:highlight w:val="none"/>
        </w:rPr>
        <w:t>玻璃制造企业</w:t>
      </w:r>
      <w:r>
        <w:rPr>
          <w:rFonts w:hint="eastAsia"/>
          <w:color w:val="auto"/>
          <w:highlight w:val="none"/>
        </w:rPr>
        <w:t>。</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区内能源消耗量</w:t>
      </w:r>
      <w:r>
        <w:rPr>
          <w:color w:val="auto"/>
          <w:highlight w:val="none"/>
        </w:rPr>
        <w:t>前</w:t>
      </w:r>
      <w:r>
        <w:rPr>
          <w:rFonts w:hint="eastAsia"/>
          <w:color w:val="auto"/>
          <w:highlight w:val="none"/>
        </w:rPr>
        <w:t>15的</w:t>
      </w:r>
      <w:r>
        <w:rPr>
          <w:color w:val="auto"/>
          <w:highlight w:val="none"/>
        </w:rPr>
        <w:t>规上</w:t>
      </w:r>
      <w:r>
        <w:rPr>
          <w:rFonts w:hint="eastAsia"/>
          <w:color w:val="auto"/>
          <w:highlight w:val="none"/>
        </w:rPr>
        <w:t>企业合计年能源消费</w:t>
      </w:r>
      <w:r>
        <w:rPr>
          <w:color w:val="auto"/>
          <w:highlight w:val="none"/>
        </w:rPr>
        <w:t>量为199018.49tce</w:t>
      </w:r>
      <w:r>
        <w:rPr>
          <w:rFonts w:hint="eastAsia"/>
          <w:color w:val="auto"/>
          <w:highlight w:val="none"/>
        </w:rPr>
        <w:t>（当量值）</w:t>
      </w:r>
      <w:r>
        <w:rPr>
          <w:color w:val="auto"/>
          <w:highlight w:val="none"/>
        </w:rPr>
        <w:t>，占开发区规上企业能耗总量的</w:t>
      </w:r>
      <w:r>
        <w:rPr>
          <w:rFonts w:hint="eastAsia"/>
          <w:color w:val="auto"/>
          <w:highlight w:val="none"/>
          <w:lang w:val="en-US" w:eastAsia="zh-CN"/>
        </w:rPr>
        <w:t>80</w:t>
      </w:r>
      <w:r>
        <w:rPr>
          <w:color w:val="auto"/>
          <w:highlight w:val="none"/>
        </w:rPr>
        <w:t>%，</w:t>
      </w:r>
      <w:r>
        <w:rPr>
          <w:rFonts w:hint="eastAsia"/>
          <w:color w:val="auto"/>
          <w:highlight w:val="none"/>
        </w:rPr>
        <w:t>其具体情况</w:t>
      </w:r>
      <w:r>
        <w:rPr>
          <w:color w:val="auto"/>
          <w:highlight w:val="none"/>
        </w:rPr>
        <w:t>如下</w:t>
      </w:r>
      <w:r>
        <w:rPr>
          <w:rFonts w:hint="eastAsia"/>
          <w:color w:val="auto"/>
          <w:highlight w:val="none"/>
        </w:rPr>
        <w:t>表所示</w:t>
      </w:r>
      <w:r>
        <w:rPr>
          <w:color w:val="auto"/>
          <w:highlight w:val="none"/>
        </w:rPr>
        <w:t>：</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12</w:t>
      </w:r>
      <w:r>
        <w:rPr>
          <w:color w:val="auto"/>
          <w:highlight w:val="none"/>
        </w:rPr>
        <w:fldChar w:fldCharType="end"/>
      </w:r>
      <w:r>
        <w:rPr>
          <w:color w:val="auto"/>
          <w:highlight w:val="none"/>
        </w:rPr>
        <w:t xml:space="preserve"> </w:t>
      </w:r>
      <w:r>
        <w:rPr>
          <w:rFonts w:hint="eastAsia"/>
          <w:color w:val="auto"/>
          <w:highlight w:val="none"/>
        </w:rPr>
        <w:t>咸宁高新区主要</w:t>
      </w:r>
      <w:r>
        <w:rPr>
          <w:color w:val="auto"/>
          <w:highlight w:val="none"/>
        </w:rPr>
        <w:t>耗能企业</w:t>
      </w:r>
      <w:r>
        <w:rPr>
          <w:rFonts w:hint="eastAsia"/>
          <w:color w:val="auto"/>
          <w:highlight w:val="none"/>
        </w:rPr>
        <w:t>情况表（当量值）</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050"/>
        <w:gridCol w:w="4110"/>
        <w:gridCol w:w="1701"/>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序号</w:t>
            </w:r>
          </w:p>
        </w:tc>
        <w:tc>
          <w:tcPr>
            <w:tcW w:w="4110" w:type="dxa"/>
            <w:noWrap/>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企业</w:t>
            </w:r>
            <w:r>
              <w:rPr>
                <w:b/>
                <w:color w:val="auto"/>
                <w:sz w:val="24"/>
                <w:szCs w:val="24"/>
                <w:highlight w:val="none"/>
              </w:rPr>
              <w:t>名称</w:t>
            </w:r>
          </w:p>
        </w:tc>
        <w:tc>
          <w:tcPr>
            <w:tcW w:w="1701" w:type="dxa"/>
            <w:noWrap/>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年</w:t>
            </w:r>
            <w:r>
              <w:rPr>
                <w:b/>
                <w:color w:val="auto"/>
                <w:sz w:val="24"/>
                <w:szCs w:val="24"/>
                <w:highlight w:val="none"/>
              </w:rPr>
              <w:t>能源消耗量</w:t>
            </w:r>
          </w:p>
          <w:p>
            <w:pPr>
              <w:spacing w:line="240" w:lineRule="auto"/>
              <w:ind w:firstLine="0" w:firstLineChars="0"/>
              <w:jc w:val="center"/>
              <w:rPr>
                <w:b/>
                <w:color w:val="auto"/>
                <w:sz w:val="24"/>
                <w:szCs w:val="24"/>
                <w:highlight w:val="none"/>
              </w:rPr>
            </w:pPr>
            <w:r>
              <w:rPr>
                <w:rFonts w:hint="eastAsia"/>
                <w:b/>
                <w:color w:val="auto"/>
                <w:sz w:val="24"/>
                <w:szCs w:val="24"/>
                <w:highlight w:val="none"/>
              </w:rPr>
              <w:t>（tce）</w:t>
            </w:r>
          </w:p>
        </w:tc>
        <w:tc>
          <w:tcPr>
            <w:tcW w:w="1559" w:type="dxa"/>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占比</w:t>
            </w:r>
          </w:p>
          <w:p>
            <w:pPr>
              <w:spacing w:line="240" w:lineRule="auto"/>
              <w:ind w:firstLine="0" w:firstLineChars="0"/>
              <w:jc w:val="center"/>
              <w:rPr>
                <w:b/>
                <w:color w:val="auto"/>
                <w:sz w:val="24"/>
                <w:szCs w:val="24"/>
                <w:highlight w:val="none"/>
              </w:rPr>
            </w:pPr>
            <w:r>
              <w:rPr>
                <w:rFonts w:hint="eastAsia"/>
                <w:b/>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咸宁南玻玻璃有限公司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127903.76</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57.88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2</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咸宁南玻光电玻璃有限公司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23117.98</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3</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红牛维他命饮料（湖北）有限公司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7280.62</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3.29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4</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咸宁南玻节能玻璃有限公司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5551.79</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2.51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5</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湖北奥瑞金饮料工业有限公司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4463.56</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6</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湖北恒丰纸业有限公司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4204.64</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7</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湖北天化麻业股份有限公司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3497.73</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8</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湖北和乐门业有限公司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3305.42</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9</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今麦郎饮品（咸宁）有限公司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3222.6</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10</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湖北奥瑞金包装有限公司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3098.37</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11</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华源包装（咸宁）有限公司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3066.21</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12</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咸宁润雅毛巾有限公司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2975.69</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13</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湖北奥瑞金制罐有限公司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2676.59</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14</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金士达医疗（咸宁）有限公司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2418.15</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15</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咸宁联合水务有限公司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2235.38</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16</w:t>
            </w:r>
          </w:p>
        </w:tc>
        <w:tc>
          <w:tcPr>
            <w:tcW w:w="4110" w:type="dxa"/>
            <w:noWrap/>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其他</w:t>
            </w:r>
            <w:r>
              <w:rPr>
                <w:color w:val="auto"/>
                <w:sz w:val="24"/>
                <w:szCs w:val="24"/>
                <w:highlight w:val="none"/>
              </w:rPr>
              <w:t>企业</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21962.67</w:t>
            </w:r>
          </w:p>
        </w:tc>
        <w:tc>
          <w:tcPr>
            <w:tcW w:w="1559"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17</w:t>
            </w:r>
          </w:p>
        </w:tc>
        <w:tc>
          <w:tcPr>
            <w:tcW w:w="4110" w:type="dxa"/>
            <w:noWrap/>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合计</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220981.16</w:t>
            </w:r>
          </w:p>
        </w:tc>
        <w:tc>
          <w:tcPr>
            <w:tcW w:w="1559"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100</w:t>
            </w:r>
          </w:p>
        </w:tc>
      </w:tr>
    </w:tbl>
    <w:p>
      <w:pPr>
        <w:ind w:firstLine="560"/>
        <w:rPr>
          <w:color w:val="auto"/>
          <w:highlight w:val="none"/>
        </w:rPr>
      </w:pPr>
      <w:r>
        <w:rPr>
          <w:rFonts w:hint="eastAsia"/>
          <w:color w:val="auto"/>
          <w:highlight w:val="none"/>
        </w:rPr>
        <w:t>本次评估选择区内具有行业代表性的企业进行用能分析，具体如下：</w:t>
      </w:r>
    </w:p>
    <w:p>
      <w:pPr>
        <w:pStyle w:val="4"/>
        <w:numPr>
          <w:ilvl w:val="2"/>
          <w:numId w:val="2"/>
        </w:numPr>
        <w:ind w:left="709" w:hanging="709"/>
        <w:rPr>
          <w:color w:val="auto"/>
          <w:highlight w:val="none"/>
        </w:rPr>
      </w:pPr>
      <w:bookmarkStart w:id="50" w:name="_Toc8807"/>
      <w:r>
        <w:rPr>
          <w:rFonts w:hint="eastAsia"/>
          <w:color w:val="auto"/>
          <w:highlight w:val="none"/>
        </w:rPr>
        <w:t>咸宁南玻玻璃有限公司</w:t>
      </w:r>
      <w:bookmarkEnd w:id="50"/>
    </w:p>
    <w:p>
      <w:pPr>
        <w:ind w:firstLine="560"/>
        <w:rPr>
          <w:rFonts w:hint="eastAsia" w:eastAsia="宋体"/>
          <w:color w:val="auto"/>
          <w:highlight w:val="none"/>
          <w:lang w:val="en-US" w:eastAsia="zh-CN"/>
        </w:rPr>
      </w:pPr>
      <w:r>
        <w:rPr>
          <w:rFonts w:hint="eastAsia"/>
          <w:color w:val="auto"/>
          <w:highlight w:val="none"/>
        </w:rPr>
        <w:t>咸宁南玻玻璃有限公司是中国南玻集团股份有限公司在湖北咸宁经济开发区设立的子公司，是集团中部战略的重要支点。公司成立于2011年3月，一期总投资人民币8.65亿元，目前已建成投产两条日熔化量均为700吨的国际一流优质特种玻璃生产线，年产量达50万吨</w:t>
      </w:r>
      <w:r>
        <w:rPr>
          <w:rFonts w:hint="eastAsia"/>
          <w:color w:val="auto"/>
          <w:highlight w:val="none"/>
          <w:lang w:eastAsia="zh-CN"/>
        </w:rPr>
        <w:t>；</w:t>
      </w:r>
      <w:r>
        <w:rPr>
          <w:rFonts w:hint="eastAsia"/>
          <w:color w:val="auto"/>
          <w:highlight w:val="none"/>
          <w:lang w:val="en-US" w:eastAsia="zh-CN"/>
        </w:rPr>
        <w:t>一条</w:t>
      </w:r>
      <w:r>
        <w:rPr>
          <w:rFonts w:hint="eastAsia"/>
          <w:color w:val="auto"/>
          <w:highlight w:val="none"/>
        </w:rPr>
        <w:t>高透光伏玻璃基片生产线</w:t>
      </w:r>
      <w:r>
        <w:rPr>
          <w:rFonts w:hint="eastAsia"/>
          <w:color w:val="auto"/>
          <w:highlight w:val="none"/>
          <w:lang w:eastAsia="zh-CN"/>
        </w:rPr>
        <w:t>，</w:t>
      </w:r>
      <w:r>
        <w:rPr>
          <w:rFonts w:hint="eastAsia"/>
          <w:color w:val="auto"/>
          <w:highlight w:val="none"/>
          <w:lang w:val="en-US" w:eastAsia="zh-CN"/>
        </w:rPr>
        <w:t>产能为</w:t>
      </w:r>
      <w:r>
        <w:rPr>
          <w:rFonts w:hint="eastAsia"/>
          <w:color w:val="auto"/>
          <w:highlight w:val="none"/>
        </w:rPr>
        <w:t>1200t/</w:t>
      </w:r>
      <w:r>
        <w:rPr>
          <w:rFonts w:hint="eastAsia"/>
          <w:color w:val="auto"/>
          <w:highlight w:val="none"/>
          <w:lang w:val="en-US" w:eastAsia="zh-CN"/>
        </w:rPr>
        <w:t>d。</w:t>
      </w:r>
    </w:p>
    <w:p>
      <w:pPr>
        <w:ind w:firstLine="560"/>
        <w:rPr>
          <w:color w:val="auto"/>
          <w:highlight w:val="none"/>
        </w:rPr>
      </w:pPr>
      <w:r>
        <w:rPr>
          <w:rFonts w:hint="eastAsia"/>
          <w:color w:val="auto"/>
          <w:highlight w:val="none"/>
        </w:rPr>
        <w:t>该公司拥有世界先进的生产设备、工艺技术和管理体系，采用德国DCS过程控制系统，保证生产稳定、高效运行；使用全套意大利、德国冷端设备，严格控制切割精度，具备生产16米超白超大板玻璃能力，产品研发和产品品质均处于国内领先水平，可满足客户的应用需求，其产品广泛应用于节能、光电、家电、家私、汽车、工程建筑玻璃等领域和行业。2013年6月，公司节能环保材料生产二线成功点火，扩大了生产规模，实现了资源共享与优势互补，极大提升了南玻集团在中部市场的领导地位及影响力。</w:t>
      </w:r>
    </w:p>
    <w:p>
      <w:pPr>
        <w:ind w:firstLine="560"/>
        <w:rPr>
          <w:color w:val="auto"/>
          <w:highlight w:val="none"/>
        </w:rPr>
      </w:pPr>
      <w:r>
        <w:rPr>
          <w:rFonts w:hint="eastAsia"/>
          <w:color w:val="auto"/>
          <w:highlight w:val="none"/>
        </w:rPr>
        <w:t>2014年9月，咸宁南玻公司成立了综合能源管理小组，由公司总经理担任组长，生产分管副总经理担任副组长。综合能源管理小组按职责分为监查组、改善组、综能组，各部门各施其职，积极推进综合能源管理。公司每年制定各项能源管理目标，并针对能源管理目标制度相关管理制度，综合能源管理工作持续有效推进。</w:t>
      </w:r>
    </w:p>
    <w:p>
      <w:pPr>
        <w:ind w:firstLine="560"/>
        <w:rPr>
          <w:color w:val="auto"/>
          <w:highlight w:val="none"/>
        </w:rPr>
      </w:pPr>
      <w:r>
        <w:rPr>
          <w:rFonts w:hint="eastAsia"/>
          <w:color w:val="auto"/>
          <w:highlight w:val="none"/>
        </w:rPr>
        <w:t>目前，咸宁南玻已建成11MWp的太阳能光伏电站和5.5MW余热电站，能够有效实现能源的循环利用，并与近年陆续完成了一线2#助燃风机、2条线池壁风机及备用槽底风机、主线变频改造，3#工频循环水泵节能改造项目。其中，太阳能光伏电工程</w:t>
      </w:r>
      <w:r>
        <w:rPr>
          <w:color w:val="auto"/>
          <w:highlight w:val="none"/>
        </w:rPr>
        <w:t>将</w:t>
      </w:r>
      <w:r>
        <w:rPr>
          <w:rFonts w:hint="eastAsia"/>
          <w:color w:val="auto"/>
          <w:highlight w:val="none"/>
        </w:rPr>
        <w:t>光伏组件安装位置利用厂房屋顶、车棚及部分厂区空地。总规模为11020.8</w:t>
      </w:r>
      <w:r>
        <w:rPr>
          <w:color w:val="auto"/>
          <w:highlight w:val="none"/>
        </w:rPr>
        <w:t>k</w:t>
      </w:r>
      <w:r>
        <w:rPr>
          <w:rFonts w:hint="eastAsia"/>
          <w:color w:val="auto"/>
          <w:highlight w:val="none"/>
        </w:rPr>
        <w:t>W，总投资10711.40万元人民币，单位投资9.72元/W，于2012年底动工建设，2013年6月建成投运，年均发电约958.8万kW</w:t>
      </w:r>
      <w:r>
        <w:rPr>
          <w:color w:val="auto"/>
          <w:highlight w:val="none"/>
        </w:rPr>
        <w:t>·</w:t>
      </w:r>
      <w:r>
        <w:rPr>
          <w:rFonts w:hint="eastAsia"/>
          <w:color w:val="auto"/>
          <w:highlight w:val="none"/>
        </w:rPr>
        <w:t>h；5.5MW余热发电站是利用两条浮法生产线窑炉产生的高温烟气，经过余热锅炉将锅炉里的水加热生产出过热蒸汽，过热蒸汽送到汽轮机中膨胀做功，将热能转换成机械能，进而带动发电机发出电力，所发电力回用于玻璃生产，余热电站投资约人民币2000万元，于2013年12月底开始动工，2014年8月成功并网发电。余热电站年平均发电量为4320万kW</w:t>
      </w:r>
      <w:r>
        <w:rPr>
          <w:color w:val="auto"/>
          <w:highlight w:val="none"/>
        </w:rPr>
        <w:t>·</w:t>
      </w:r>
      <w:r>
        <w:rPr>
          <w:rFonts w:hint="eastAsia"/>
          <w:color w:val="auto"/>
          <w:highlight w:val="none"/>
        </w:rPr>
        <w:t>h。</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年，咸宁南玻单位产品能耗为</w:t>
      </w:r>
      <w:r>
        <w:rPr>
          <w:rFonts w:hint="eastAsia"/>
          <w:color w:val="auto"/>
          <w:highlight w:val="none"/>
          <w:lang w:val="en-US" w:eastAsia="zh-CN"/>
        </w:rPr>
        <w:t>8.65</w:t>
      </w:r>
      <w:r>
        <w:rPr>
          <w:rFonts w:hint="eastAsia"/>
          <w:color w:val="auto"/>
          <w:highlight w:val="none"/>
        </w:rPr>
        <w:t>kgce/标准箱</w:t>
      </w:r>
      <w:r>
        <w:rPr>
          <w:rFonts w:hint="eastAsia"/>
          <w:color w:val="auto"/>
          <w:highlight w:val="none"/>
          <w:lang w:eastAsia="zh-CN"/>
        </w:rPr>
        <w:t>，</w:t>
      </w:r>
      <w:r>
        <w:rPr>
          <w:rFonts w:hint="eastAsia"/>
          <w:color w:val="auto"/>
          <w:highlight w:val="none"/>
          <w:lang w:val="en-US" w:eastAsia="zh-CN"/>
        </w:rPr>
        <w:t>满足《玻璃和铸石单位产品能源消耗限额》（GB 21340-2019）一级能效要求</w:t>
      </w:r>
      <w:r>
        <w:rPr>
          <w:rFonts w:hint="eastAsia"/>
          <w:color w:val="auto"/>
          <w:highlight w:val="none"/>
        </w:rPr>
        <w:t>。</w:t>
      </w:r>
    </w:p>
    <w:p>
      <w:pPr>
        <w:ind w:firstLine="560"/>
        <w:rPr>
          <w:rFonts w:hint="eastAsia"/>
          <w:color w:val="auto"/>
          <w:highlight w:val="none"/>
        </w:rPr>
      </w:pPr>
      <w:r>
        <w:rPr>
          <w:rFonts w:hint="eastAsia"/>
          <w:color w:val="auto"/>
          <w:highlight w:val="none"/>
        </w:rPr>
        <w:t>近年咸宁南玻玻璃有限公司主要能源消耗情况如下表所示：</w:t>
      </w:r>
    </w:p>
    <w:p>
      <w:pPr>
        <w:ind w:firstLine="560"/>
        <w:rPr>
          <w:rFonts w:hint="eastAsia"/>
          <w:color w:val="auto"/>
          <w:highlight w:val="none"/>
        </w:rPr>
      </w:pPr>
    </w:p>
    <w:p>
      <w:pPr>
        <w:pStyle w:val="27"/>
        <w:rPr>
          <w:rFonts w:hint="eastAsia"/>
          <w:color w:val="auto"/>
          <w:highlight w:val="none"/>
        </w:rPr>
      </w:pP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13</w:t>
      </w:r>
      <w:r>
        <w:rPr>
          <w:color w:val="auto"/>
          <w:highlight w:val="none"/>
        </w:rPr>
        <w:fldChar w:fldCharType="end"/>
      </w:r>
      <w:r>
        <w:rPr>
          <w:color w:val="auto"/>
          <w:highlight w:val="none"/>
        </w:rPr>
        <w:t xml:space="preserve"> </w:t>
      </w:r>
      <w:r>
        <w:rPr>
          <w:rFonts w:hint="eastAsia"/>
          <w:color w:val="auto"/>
          <w:highlight w:val="none"/>
        </w:rPr>
        <w:t>咸宁南玻玻璃有限公司主要能源消耗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1"/>
        <w:gridCol w:w="1711"/>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2021</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8971</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8885</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9094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3764</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4531</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4211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123940.26</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123739.1</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126125.52</w:t>
            </w:r>
          </w:p>
        </w:tc>
      </w:tr>
    </w:tbl>
    <w:p>
      <w:pPr>
        <w:spacing w:line="240" w:lineRule="auto"/>
        <w:ind w:firstLine="0" w:firstLineChars="0"/>
        <w:rPr>
          <w:color w:val="auto"/>
          <w:highlight w:val="none"/>
        </w:rPr>
      </w:pPr>
    </w:p>
    <w:p>
      <w:pPr>
        <w:ind w:firstLine="560"/>
        <w:rPr>
          <w:rFonts w:hint="eastAsia" w:ascii="宋体" w:hAnsi="宋体" w:eastAsia="宋体" w:cs="宋体"/>
          <w:color w:val="auto"/>
          <w:kern w:val="0"/>
          <w:sz w:val="28"/>
          <w:szCs w:val="28"/>
          <w:highlight w:val="none"/>
          <w:lang w:val="en-US" w:eastAsia="zh-CN" w:bidi="ar"/>
        </w:rPr>
      </w:pPr>
      <w:r>
        <w:rPr>
          <w:rFonts w:hint="eastAsia"/>
          <w:color w:val="auto"/>
          <w:highlight w:val="none"/>
          <w:lang w:val="en-US" w:eastAsia="zh-CN"/>
        </w:rPr>
        <w:t>咸宁南玻玻璃有限公司能效水平处于行业领先水平，公司</w:t>
      </w:r>
      <w:r>
        <w:rPr>
          <w:rFonts w:hint="eastAsia" w:ascii="宋体" w:hAnsi="宋体" w:eastAsia="宋体" w:cs="宋体"/>
          <w:color w:val="auto"/>
          <w:kern w:val="0"/>
          <w:sz w:val="28"/>
          <w:szCs w:val="28"/>
          <w:highlight w:val="none"/>
          <w:lang w:val="en-US" w:eastAsia="zh-CN" w:bidi="ar"/>
        </w:rPr>
        <w:t>成功获选</w:t>
      </w:r>
      <w:r>
        <w:rPr>
          <w:rFonts w:hint="default" w:ascii="Times New Roman" w:hAnsi="Times New Roman" w:eastAsia="宋体" w:cs="Times New Roman"/>
          <w:color w:val="auto"/>
          <w:kern w:val="0"/>
          <w:sz w:val="28"/>
          <w:szCs w:val="28"/>
          <w:highlight w:val="none"/>
          <w:lang w:val="en-US" w:eastAsia="zh-CN" w:bidi="ar"/>
        </w:rPr>
        <w:t>2022</w:t>
      </w:r>
      <w:r>
        <w:rPr>
          <w:rFonts w:hint="eastAsia" w:ascii="宋体" w:hAnsi="宋体" w:eastAsia="宋体" w:cs="宋体"/>
          <w:color w:val="auto"/>
          <w:kern w:val="0"/>
          <w:sz w:val="28"/>
          <w:szCs w:val="28"/>
          <w:highlight w:val="none"/>
          <w:lang w:val="en-US" w:eastAsia="zh-CN" w:bidi="ar"/>
        </w:rPr>
        <w:t>年度重点用能行业能效</w:t>
      </w:r>
      <w:r>
        <w:rPr>
          <w:rFonts w:hint="eastAsia" w:ascii="Times New Roman" w:hAnsi="Times New Roman" w:eastAsia="宋体" w:cs="Times New Roman"/>
          <w:color w:val="auto"/>
          <w:kern w:val="0"/>
          <w:sz w:val="28"/>
          <w:szCs w:val="28"/>
          <w:highlight w:val="none"/>
          <w:lang w:val="en-US" w:eastAsia="zh-CN" w:bidi="ar"/>
        </w:rPr>
        <w:t>“</w:t>
      </w:r>
      <w:r>
        <w:rPr>
          <w:rFonts w:hint="eastAsia" w:ascii="宋体" w:hAnsi="宋体" w:eastAsia="宋体" w:cs="宋体"/>
          <w:color w:val="auto"/>
          <w:kern w:val="0"/>
          <w:sz w:val="28"/>
          <w:szCs w:val="28"/>
          <w:highlight w:val="none"/>
          <w:lang w:val="en-US" w:eastAsia="zh-CN" w:bidi="ar"/>
        </w:rPr>
        <w:t>领跑者</w:t>
      </w:r>
      <w:r>
        <w:rPr>
          <w:rFonts w:hint="eastAsia" w:ascii="Times New Roman" w:hAnsi="Times New Roman" w:eastAsia="宋体" w:cs="Times New Roman"/>
          <w:color w:val="auto"/>
          <w:kern w:val="0"/>
          <w:sz w:val="28"/>
          <w:szCs w:val="28"/>
          <w:highlight w:val="none"/>
          <w:lang w:val="en-US" w:eastAsia="zh-CN" w:bidi="ar"/>
        </w:rPr>
        <w:t>”</w:t>
      </w:r>
      <w:r>
        <w:rPr>
          <w:rFonts w:hint="eastAsia" w:ascii="宋体" w:hAnsi="宋体" w:eastAsia="宋体" w:cs="宋体"/>
          <w:color w:val="auto"/>
          <w:kern w:val="0"/>
          <w:sz w:val="28"/>
          <w:szCs w:val="28"/>
          <w:highlight w:val="none"/>
          <w:lang w:val="en-US" w:eastAsia="zh-CN" w:bidi="ar"/>
        </w:rPr>
        <w:t>称号，平板玻璃行业仅2家单位获此殊荣。</w:t>
      </w:r>
    </w:p>
    <w:p>
      <w:pPr>
        <w:pStyle w:val="27"/>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同时，公司入选《工业和信息化部办公厅关于公布第四批绿色制造名单的通知》（工信厅节函〔2019〕196号）中的“绿色工厂”名单。</w:t>
      </w:r>
    </w:p>
    <w:p>
      <w:pPr>
        <w:rPr>
          <w:rFonts w:hint="eastAsia"/>
          <w:color w:val="auto"/>
          <w:highlight w:val="none"/>
          <w:lang w:val="en-US" w:eastAsia="zh-CN"/>
        </w:rPr>
      </w:pPr>
      <w:r>
        <w:rPr>
          <w:rFonts w:hint="eastAsia"/>
          <w:color w:val="auto"/>
          <w:highlight w:val="none"/>
          <w:lang w:val="en-US" w:eastAsia="zh-CN"/>
        </w:rPr>
        <w:t>随着咸宁高新区经济社会高速发展，节能降耗形势较为严峻，作为开发区用能大户，咸宁南玻玻璃有限公司在产品能效水平全国领先的基础上，仍具有深挖节能潜力、提高用能效益的空间。</w:t>
      </w:r>
    </w:p>
    <w:p>
      <w:pPr>
        <w:pStyle w:val="27"/>
        <w:rPr>
          <w:rFonts w:hint="eastAsia"/>
          <w:color w:val="auto"/>
          <w:highlight w:val="none"/>
          <w:lang w:val="en-US" w:eastAsia="zh-CN"/>
        </w:rPr>
      </w:pPr>
      <w:r>
        <w:rPr>
          <w:rFonts w:hint="eastAsia"/>
          <w:color w:val="auto"/>
          <w:highlight w:val="none"/>
          <w:lang w:val="en-US" w:eastAsia="zh-CN"/>
        </w:rPr>
        <w:t>本报告建议：</w:t>
      </w:r>
    </w:p>
    <w:p>
      <w:pPr>
        <w:rPr>
          <w:rFonts w:hint="eastAsia"/>
          <w:color w:val="auto"/>
          <w:highlight w:val="none"/>
          <w:lang w:val="en-US" w:eastAsia="zh-CN"/>
        </w:rPr>
      </w:pPr>
      <w:r>
        <w:rPr>
          <w:rFonts w:hint="eastAsia" w:ascii="宋体" w:hAnsi="宋体" w:eastAsia="宋体" w:cs="宋体"/>
          <w:color w:val="auto"/>
          <w:highlight w:val="none"/>
          <w:lang w:val="en-US" w:eastAsia="zh-CN"/>
        </w:rPr>
        <w:t>①</w:t>
      </w:r>
      <w:r>
        <w:rPr>
          <w:rFonts w:hint="eastAsia"/>
          <w:color w:val="auto"/>
          <w:highlight w:val="none"/>
          <w:lang w:val="en-US" w:eastAsia="zh-CN"/>
        </w:rPr>
        <w:t>对现状浮法玻璃余热发电和光伏玻璃余热发电的管道进行联通改造，通过优化余热发电站的蒸气配置，实现发电效率最大化。</w:t>
      </w:r>
    </w:p>
    <w:p>
      <w:pPr>
        <w:pStyle w:val="27"/>
        <w:rPr>
          <w:rFonts w:hint="default"/>
          <w:color w:val="auto"/>
          <w:highlight w:val="none"/>
          <w:lang w:val="en-US" w:eastAsia="zh-CN"/>
        </w:rPr>
      </w:pPr>
      <w:r>
        <w:rPr>
          <w:rFonts w:hint="eastAsia" w:ascii="宋体" w:hAnsi="宋体" w:eastAsia="宋体" w:cs="宋体"/>
          <w:color w:val="auto"/>
          <w:highlight w:val="none"/>
          <w:lang w:val="en-US" w:eastAsia="zh-CN"/>
        </w:rPr>
        <w:t>②开展炉窑富氧燃烧改造，建设高塔氮氧制备系统或变压吸附制氧系统，实现熔窑富氧燃烧，可综合实现窑炉降低单位能耗5%。</w:t>
      </w:r>
    </w:p>
    <w:p>
      <w:pPr>
        <w:pStyle w:val="4"/>
        <w:numPr>
          <w:ilvl w:val="2"/>
          <w:numId w:val="2"/>
        </w:numPr>
        <w:ind w:left="709" w:hanging="709"/>
        <w:rPr>
          <w:color w:val="auto"/>
          <w:highlight w:val="none"/>
        </w:rPr>
      </w:pPr>
      <w:bookmarkStart w:id="51" w:name="_Toc11380"/>
      <w:r>
        <w:rPr>
          <w:rFonts w:hint="eastAsia"/>
          <w:color w:val="auto"/>
          <w:highlight w:val="none"/>
        </w:rPr>
        <w:t>咸宁南玻光电玻璃有限公司</w:t>
      </w:r>
      <w:bookmarkEnd w:id="51"/>
    </w:p>
    <w:p>
      <w:pPr>
        <w:ind w:firstLine="560"/>
        <w:rPr>
          <w:color w:val="auto"/>
          <w:highlight w:val="none"/>
        </w:rPr>
      </w:pPr>
      <w:r>
        <w:rPr>
          <w:rFonts w:hint="eastAsia"/>
          <w:color w:val="auto"/>
          <w:highlight w:val="none"/>
        </w:rPr>
        <w:t>咸宁南玻光电玻璃有限公司系南玻集团控股子公司，隶属于平板与电子玻璃事业部。公司成立于2015年8月，位于咸宁高新技术产业园区，注册资本2.5亿元人民币，占地面积265亩，总投资约10亿元。公司建有一条设计产能（日熔化量）为150吨/天的超薄电子玻璃生产线，能够生产厚度为0.2-8mm的高性能高铝超薄电子盖板玻璃及特种军工玻璃，目前成功研发出国际先进水平的KK6新高铝超薄电子玻璃，该产品已实现量产可以替代国外进口产品，属于工信部新材料鼓励类项目，也是国内为数不多具备生产0.2mm超薄电子玻璃及特种玻璃产品的企业。</w:t>
      </w:r>
    </w:p>
    <w:p>
      <w:pPr>
        <w:ind w:firstLine="560"/>
        <w:rPr>
          <w:color w:val="auto"/>
          <w:highlight w:val="none"/>
        </w:rPr>
      </w:pPr>
      <w:r>
        <w:rPr>
          <w:rFonts w:hint="eastAsia"/>
          <w:color w:val="auto"/>
          <w:highlight w:val="none"/>
        </w:rPr>
        <w:t>南玻光电的生产用能主要为电力和天然气，天然气消耗主要用于玻璃熔化过程中的工业窑炉；电力消耗主要用于生产过程中的电加热、离心机、空压机等设备。生产设备大部分为进口设备，采用全自动化，主要设备有DCS系统、自动配料系统、自动优化切裁系统、自动堆垛系统。主要用电设备实行智能化管控，采用环保电机节省能源。</w:t>
      </w:r>
    </w:p>
    <w:p>
      <w:pPr>
        <w:ind w:firstLine="0" w:firstLineChars="0"/>
        <w:rPr>
          <w:color w:val="auto"/>
          <w:highlight w:val="none"/>
        </w:rPr>
      </w:pPr>
      <w:r>
        <w:rPr>
          <w:color w:val="auto"/>
          <w:highlight w:val="none"/>
        </w:rPr>
        <w:t>公司</w:t>
      </w:r>
      <w:r>
        <w:rPr>
          <w:rFonts w:hint="eastAsia"/>
          <w:color w:val="auto"/>
          <w:highlight w:val="none"/>
        </w:rPr>
        <w:t>单位生产能耗约为1.4t</w:t>
      </w:r>
      <w:r>
        <w:rPr>
          <w:color w:val="auto"/>
          <w:highlight w:val="none"/>
        </w:rPr>
        <w:t>ce</w:t>
      </w:r>
      <w:r>
        <w:rPr>
          <w:rFonts w:hint="eastAsia"/>
          <w:color w:val="auto"/>
          <w:highlight w:val="none"/>
        </w:rPr>
        <w:t>/t玻璃液。</w:t>
      </w:r>
      <w:r>
        <w:rPr>
          <w:color w:val="auto"/>
          <w:highlight w:val="none"/>
        </w:rPr>
        <w:t xml:space="preserve"> </w:t>
      </w:r>
    </w:p>
    <w:p>
      <w:pPr>
        <w:ind w:firstLine="560"/>
        <w:rPr>
          <w:color w:val="auto"/>
          <w:highlight w:val="none"/>
        </w:rPr>
      </w:pPr>
      <w:r>
        <w:rPr>
          <w:rFonts w:hint="eastAsia"/>
          <w:color w:val="auto"/>
          <w:highlight w:val="none"/>
        </w:rPr>
        <w:t>南玻光电已设有能源管理小组，推行了能源管理体系，</w:t>
      </w:r>
      <w:r>
        <w:rPr>
          <w:color w:val="auto"/>
          <w:highlight w:val="none"/>
        </w:rPr>
        <w:t>自投入生产以来</w:t>
      </w:r>
      <w:r>
        <w:rPr>
          <w:rFonts w:hint="eastAsia"/>
          <w:color w:val="auto"/>
          <w:highlight w:val="none"/>
        </w:rPr>
        <w:t>十分重视能源结构优化，针对产品研发、耗能工艺用能进行了一系列管理节能技术改造，如液氨气化改造、压缩空气后处理改造、氨分解炉加保温、根据工艺调整压缩空气供气压力、利用设备余热供应溴化锂空调等，并建有光伏发电站，实现车棚和屋顶发电。</w:t>
      </w:r>
    </w:p>
    <w:p>
      <w:pPr>
        <w:ind w:firstLine="560"/>
        <w:rPr>
          <w:color w:val="auto"/>
          <w:highlight w:val="none"/>
        </w:rPr>
      </w:pPr>
      <w:r>
        <w:rPr>
          <w:rFonts w:hint="eastAsia"/>
          <w:color w:val="auto"/>
          <w:highlight w:val="none"/>
        </w:rPr>
        <w:t>该公司生产的高铝硅酸盐盖板玻璃不属于平板玻璃行业，属于新材料行业，暂无具体的行业能耗标准，其生产能耗与主要竞争对手对标均保持国内和国际先进水平。该公司已与湖北省质监局签订战略合作协议，正在推动高铝硅酸盐盖板新材料领域综合能耗国家标准、行业标准制定落实工作。</w:t>
      </w:r>
    </w:p>
    <w:p>
      <w:pPr>
        <w:ind w:firstLine="560"/>
        <w:rPr>
          <w:color w:val="auto"/>
          <w:highlight w:val="none"/>
        </w:rPr>
      </w:pPr>
      <w:r>
        <w:rPr>
          <w:rFonts w:hint="eastAsia"/>
          <w:color w:val="auto"/>
          <w:highlight w:val="none"/>
          <w:lang w:val="en-US" w:eastAsia="zh-CN"/>
        </w:rPr>
        <w:t>2022</w:t>
      </w:r>
      <w:r>
        <w:rPr>
          <w:rFonts w:hint="eastAsia"/>
          <w:color w:val="auto"/>
          <w:highlight w:val="none"/>
        </w:rPr>
        <w:t>年咸宁南玻光电玻璃有限公司主要能源消耗情况如下表所示：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14</w:t>
      </w:r>
      <w:r>
        <w:rPr>
          <w:color w:val="auto"/>
          <w:highlight w:val="none"/>
        </w:rPr>
        <w:fldChar w:fldCharType="end"/>
      </w:r>
      <w:r>
        <w:rPr>
          <w:color w:val="auto"/>
          <w:highlight w:val="none"/>
        </w:rPr>
        <w:t xml:space="preserve"> </w:t>
      </w:r>
      <w:r>
        <w:rPr>
          <w:rFonts w:hint="eastAsia"/>
          <w:color w:val="auto"/>
          <w:highlight w:val="none"/>
        </w:rPr>
        <w:t>咸宁南玻光电玻璃有限公司</w:t>
      </w:r>
      <w:r>
        <w:rPr>
          <w:rFonts w:hint="eastAsia"/>
          <w:color w:val="auto"/>
          <w:highlight w:val="none"/>
          <w:lang w:val="en-US" w:eastAsia="zh-CN"/>
        </w:rPr>
        <w:t>2022</w:t>
      </w:r>
      <w:r>
        <w:rPr>
          <w:rFonts w:hint="eastAsia"/>
          <w:color w:val="auto"/>
          <w:highlight w:val="none"/>
        </w:rPr>
        <w:t>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495"/>
        <w:gridCol w:w="4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062"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2937"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062"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2937" w:type="pct"/>
            <w:vAlign w:val="center"/>
          </w:tcPr>
          <w:p>
            <w:pPr>
              <w:spacing w:line="240" w:lineRule="auto"/>
              <w:ind w:firstLine="0" w:firstLineChars="0"/>
              <w:jc w:val="center"/>
              <w:rPr>
                <w:color w:val="auto"/>
                <w:sz w:val="24"/>
                <w:highlight w:val="none"/>
              </w:rPr>
            </w:pPr>
            <w:r>
              <w:rPr>
                <w:color w:val="auto"/>
                <w:sz w:val="24"/>
                <w:highlight w:val="none"/>
              </w:rPr>
              <w:t>1674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062"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2937" w:type="pct"/>
            <w:vAlign w:val="center"/>
          </w:tcPr>
          <w:p>
            <w:pPr>
              <w:spacing w:line="240" w:lineRule="auto"/>
              <w:ind w:firstLine="0" w:firstLineChars="0"/>
              <w:jc w:val="center"/>
              <w:rPr>
                <w:color w:val="auto"/>
                <w:sz w:val="24"/>
                <w:highlight w:val="none"/>
              </w:rPr>
            </w:pPr>
            <w:r>
              <w:rPr>
                <w:color w:val="auto"/>
                <w:sz w:val="24"/>
                <w:highlight w:val="none"/>
              </w:rPr>
              <w:t>4283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06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2937" w:type="pct"/>
            <w:vAlign w:val="center"/>
          </w:tcPr>
          <w:p>
            <w:pPr>
              <w:spacing w:line="240" w:lineRule="auto"/>
              <w:ind w:firstLine="0" w:firstLineChars="0"/>
              <w:jc w:val="center"/>
              <w:rPr>
                <w:color w:val="auto"/>
                <w:sz w:val="24"/>
                <w:highlight w:val="none"/>
              </w:rPr>
            </w:pPr>
            <w:r>
              <w:rPr>
                <w:color w:val="auto"/>
                <w:sz w:val="24"/>
                <w:highlight w:val="none"/>
              </w:rPr>
              <w:t>23117.98</w:t>
            </w:r>
          </w:p>
        </w:tc>
      </w:tr>
    </w:tbl>
    <w:p>
      <w:pPr>
        <w:spacing w:line="240" w:lineRule="auto"/>
        <w:ind w:firstLine="0" w:firstLineChars="0"/>
        <w:rPr>
          <w:color w:val="auto"/>
          <w:highlight w:val="none"/>
        </w:rPr>
      </w:pPr>
    </w:p>
    <w:p>
      <w:pPr>
        <w:pStyle w:val="27"/>
        <w:rPr>
          <w:rFonts w:hint="eastAsia" w:ascii="宋体" w:hAnsi="宋体" w:eastAsia="宋体" w:cs="宋体"/>
          <w:color w:val="auto"/>
          <w:kern w:val="0"/>
          <w:sz w:val="28"/>
          <w:szCs w:val="28"/>
          <w:highlight w:val="none"/>
          <w:lang w:val="en-US" w:eastAsia="zh-CN" w:bidi="ar"/>
        </w:rPr>
      </w:pPr>
      <w:r>
        <w:rPr>
          <w:rFonts w:hint="eastAsia"/>
          <w:color w:val="auto"/>
          <w:highlight w:val="none"/>
          <w:lang w:val="en-US" w:eastAsia="zh-CN"/>
        </w:rPr>
        <w:t>咸宁南玻光电玻璃有限公司能效水平处于行业领先水平，</w:t>
      </w:r>
      <w:r>
        <w:rPr>
          <w:rFonts w:hint="eastAsia" w:ascii="宋体" w:hAnsi="宋体" w:eastAsia="宋体" w:cs="宋体"/>
          <w:color w:val="auto"/>
          <w:kern w:val="0"/>
          <w:sz w:val="28"/>
          <w:szCs w:val="28"/>
          <w:highlight w:val="none"/>
          <w:lang w:val="en-US" w:eastAsia="zh-CN" w:bidi="ar"/>
        </w:rPr>
        <w:t>公司入选《工业和信息化部办公厅关于公布第五批绿色制造名单的通知 工信厅节函》（〔2020〕246号）中的“绿色工厂”名单。</w:t>
      </w:r>
    </w:p>
    <w:p>
      <w:pPr>
        <w:rPr>
          <w:rFonts w:hint="eastAsia"/>
          <w:color w:val="auto"/>
          <w:highlight w:val="none"/>
          <w:lang w:val="en-US" w:eastAsia="zh-CN"/>
        </w:rPr>
      </w:pPr>
      <w:r>
        <w:rPr>
          <w:rFonts w:hint="eastAsia"/>
          <w:color w:val="auto"/>
          <w:highlight w:val="none"/>
          <w:lang w:val="en-US" w:eastAsia="zh-CN"/>
        </w:rPr>
        <w:t>作为咸宁高新区重点用能单位，咸宁南玻玻璃有限公司在产品能效水平全国领先的基础上，仍具有深挖节能潜力、提高用能效益的空间。</w:t>
      </w:r>
    </w:p>
    <w:p>
      <w:pPr>
        <w:pStyle w:val="27"/>
        <w:rPr>
          <w:rFonts w:hint="eastAsia"/>
          <w:color w:val="auto"/>
          <w:highlight w:val="none"/>
          <w:lang w:val="en-US" w:eastAsia="zh-CN"/>
        </w:rPr>
      </w:pPr>
      <w:r>
        <w:rPr>
          <w:rFonts w:hint="eastAsia"/>
          <w:color w:val="auto"/>
          <w:highlight w:val="none"/>
          <w:lang w:val="en-US" w:eastAsia="zh-CN"/>
        </w:rPr>
        <w:t>本报告建议：</w:t>
      </w:r>
    </w:p>
    <w:p>
      <w:pPr>
        <w:rPr>
          <w:color w:val="auto"/>
          <w:highlight w:val="none"/>
        </w:rPr>
      </w:pPr>
      <w:r>
        <w:rPr>
          <w:rFonts w:hint="eastAsia"/>
          <w:color w:val="auto"/>
          <w:highlight w:val="none"/>
          <w:lang w:val="en-US" w:eastAsia="zh-CN"/>
        </w:rPr>
        <w:t>对现状光伏玻璃余热发电和浮法玻璃余热发电的管道进行联通改造，通过优化余热发电站的蒸气配置，实现发电效率最大化。</w:t>
      </w:r>
    </w:p>
    <w:p>
      <w:pPr>
        <w:pStyle w:val="4"/>
        <w:numPr>
          <w:ilvl w:val="2"/>
          <w:numId w:val="2"/>
        </w:numPr>
        <w:ind w:left="709" w:hanging="709"/>
        <w:rPr>
          <w:color w:val="auto"/>
          <w:highlight w:val="none"/>
        </w:rPr>
      </w:pPr>
      <w:bookmarkStart w:id="52" w:name="_Toc11658"/>
      <w:r>
        <w:rPr>
          <w:rFonts w:hint="eastAsia"/>
          <w:color w:val="auto"/>
          <w:highlight w:val="none"/>
        </w:rPr>
        <w:t>咸宁南玻节能玻璃有限公司</w:t>
      </w:r>
      <w:bookmarkEnd w:id="52"/>
    </w:p>
    <w:p>
      <w:pPr>
        <w:ind w:firstLine="560"/>
        <w:rPr>
          <w:color w:val="auto"/>
          <w:highlight w:val="none"/>
        </w:rPr>
      </w:pPr>
      <w:r>
        <w:rPr>
          <w:rFonts w:hint="eastAsia"/>
          <w:color w:val="auto"/>
          <w:highlight w:val="none"/>
        </w:rPr>
        <w:t>咸宁南玻节能玻璃有限公司成立于2014年，生产和销售无机非金属材料及制品（特种玻璃，节能环保玻璃，低辐射镀膜玻璃，热反射镀膜玻璃、导电膜玻璃及深加工产品）、平板玻璃深加工设备、LOW-E镀膜节能环保材料、优质节能环保材料基板等。主要产品为建筑节能玻璃：包括单银、双银、三银、钢化、彩釉、中空、夹层、易洁及抗灰、防火、防弹及复合玻璃，涵盖了所有建筑玻璃种类。</w:t>
      </w:r>
    </w:p>
    <w:p>
      <w:pPr>
        <w:ind w:firstLine="560"/>
        <w:rPr>
          <w:color w:val="auto"/>
          <w:highlight w:val="none"/>
        </w:rPr>
      </w:pPr>
      <w:r>
        <w:rPr>
          <w:rFonts w:hint="eastAsia"/>
          <w:color w:val="auto"/>
          <w:highlight w:val="none"/>
        </w:rPr>
        <w:t>该公司2013年2月一期项目投产，2014年10月二期项目投产。现共有7条切割线、7条磨边线、7条钢化线、7条中空线、2条镀膜线、2条夹层线、3台热浸炉等，主要生产设备90%以上为进口设备，其规模、技术均处于目前国内外同类工厂领先水平。公司年生产能力为：镀膜玻璃及大板年产能为700～1100万m</w:t>
      </w:r>
      <w:r>
        <w:rPr>
          <w:rFonts w:hint="eastAsia"/>
          <w:color w:val="auto"/>
          <w:highlight w:val="none"/>
          <w:vertAlign w:val="superscript"/>
        </w:rPr>
        <w:t>2</w:t>
      </w:r>
      <w:r>
        <w:rPr>
          <w:rFonts w:hint="eastAsia"/>
          <w:color w:val="auto"/>
          <w:highlight w:val="none"/>
        </w:rPr>
        <w:t>，LOW-E中空玻璃年产能为230万m</w:t>
      </w:r>
      <w:r>
        <w:rPr>
          <w:rFonts w:hint="eastAsia"/>
          <w:color w:val="auto"/>
          <w:highlight w:val="none"/>
          <w:vertAlign w:val="superscript"/>
        </w:rPr>
        <w:t>2</w:t>
      </w:r>
      <w:r>
        <w:rPr>
          <w:rFonts w:hint="eastAsia"/>
          <w:color w:val="auto"/>
          <w:highlight w:val="none"/>
        </w:rPr>
        <w:t>。</w:t>
      </w:r>
    </w:p>
    <w:p>
      <w:pPr>
        <w:ind w:firstLine="560"/>
        <w:rPr>
          <w:color w:val="auto"/>
          <w:highlight w:val="none"/>
        </w:rPr>
      </w:pPr>
      <w:r>
        <w:rPr>
          <w:rFonts w:hint="eastAsia"/>
          <w:color w:val="auto"/>
          <w:highlight w:val="none"/>
        </w:rPr>
        <w:t>目前</w:t>
      </w:r>
      <w:r>
        <w:rPr>
          <w:color w:val="auto"/>
          <w:highlight w:val="none"/>
        </w:rPr>
        <w:t>，</w:t>
      </w:r>
      <w:r>
        <w:rPr>
          <w:rFonts w:hint="eastAsia"/>
          <w:color w:val="auto"/>
          <w:highlight w:val="none"/>
        </w:rPr>
        <w:t>南玻节能现共有7种规格平面普通钢化玻璃、7种规格平面低辐射镀膜钢化玻璃、9种规格夹层玻璃通过了中国建材检验认证集团股份有限公司的产品认证，产品满足《绿色产品评价 建筑玻璃》（CTS</w:t>
      </w:r>
      <w:r>
        <w:rPr>
          <w:color w:val="auto"/>
          <w:highlight w:val="none"/>
        </w:rPr>
        <w:t xml:space="preserve"> </w:t>
      </w:r>
      <w:r>
        <w:rPr>
          <w:rFonts w:hint="eastAsia"/>
          <w:color w:val="auto"/>
          <w:highlight w:val="none"/>
        </w:rPr>
        <w:t>07002-2018）的AAA级要求。其中：平面普通钢化玻璃产品能耗≤3.22</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，平面低辐射镀膜钢化玻璃产品能耗≤3.99</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，夹层玻璃产品能耗≤4.0</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，用水定额≤0.01m</w:t>
      </w:r>
      <w:r>
        <w:rPr>
          <w:rFonts w:hint="eastAsia"/>
          <w:color w:val="auto"/>
          <w:highlight w:val="none"/>
          <w:vertAlign w:val="superscript"/>
        </w:rPr>
        <w:t>3</w:t>
      </w:r>
      <w:r>
        <w:rPr>
          <w:rFonts w:hint="eastAsia"/>
          <w:color w:val="auto"/>
          <w:highlight w:val="none"/>
        </w:rPr>
        <w:t>/m</w:t>
      </w:r>
      <w:r>
        <w:rPr>
          <w:rFonts w:hint="eastAsia"/>
          <w:color w:val="auto"/>
          <w:highlight w:val="none"/>
          <w:vertAlign w:val="superscript"/>
        </w:rPr>
        <w:t>2</w:t>
      </w:r>
      <w:r>
        <w:rPr>
          <w:rFonts w:hint="eastAsia"/>
          <w:color w:val="auto"/>
          <w:highlight w:val="none"/>
        </w:rPr>
        <w:t>，水资源重复利用率≥90%。主要耗能设备为镀膜线、钢化线及夹层线，以电力</w:t>
      </w:r>
      <w:r>
        <w:rPr>
          <w:color w:val="auto"/>
          <w:highlight w:val="none"/>
        </w:rPr>
        <w:t>消耗</w:t>
      </w:r>
      <w:r>
        <w:rPr>
          <w:rFonts w:hint="eastAsia"/>
          <w:color w:val="auto"/>
          <w:highlight w:val="none"/>
        </w:rPr>
        <w:t>为主。公司已</w:t>
      </w:r>
      <w:r>
        <w:rPr>
          <w:color w:val="auto"/>
          <w:highlight w:val="none"/>
        </w:rPr>
        <w:t>建立了</w:t>
      </w:r>
      <w:r>
        <w:rPr>
          <w:rFonts w:hint="eastAsia"/>
          <w:color w:val="auto"/>
          <w:highlight w:val="none"/>
        </w:rPr>
        <w:t>能源管理体系，</w:t>
      </w:r>
      <w:r>
        <w:rPr>
          <w:color w:val="auto"/>
          <w:highlight w:val="none"/>
        </w:rPr>
        <w:t>并通过</w:t>
      </w:r>
      <w:r>
        <w:rPr>
          <w:rFonts w:hint="eastAsia"/>
          <w:color w:val="auto"/>
          <w:highlight w:val="none"/>
        </w:rPr>
        <w:t>提高设备载率、确保生产连续性、采用节能水泵、电机及电机变频节能技术、减少管路损失、保障真空密封、选用优质保温材料等</w:t>
      </w:r>
      <w:r>
        <w:rPr>
          <w:color w:val="auto"/>
          <w:highlight w:val="none"/>
        </w:rPr>
        <w:t>手段</w:t>
      </w:r>
      <w:r>
        <w:rPr>
          <w:rFonts w:hint="eastAsia"/>
          <w:color w:val="auto"/>
          <w:highlight w:val="none"/>
        </w:rPr>
        <w:t>，</w:t>
      </w:r>
      <w:r>
        <w:rPr>
          <w:color w:val="auto"/>
          <w:highlight w:val="none"/>
        </w:rPr>
        <w:t>不断提升</w:t>
      </w:r>
      <w:r>
        <w:rPr>
          <w:rFonts w:hint="eastAsia"/>
          <w:color w:val="auto"/>
          <w:highlight w:val="none"/>
        </w:rPr>
        <w:t>节能降耗水平</w:t>
      </w:r>
      <w:r>
        <w:rPr>
          <w:color w:val="auto"/>
          <w:highlight w:val="none"/>
        </w:rPr>
        <w:t>。</w:t>
      </w:r>
    </w:p>
    <w:p>
      <w:pPr>
        <w:ind w:firstLine="560"/>
        <w:rPr>
          <w:color w:val="auto"/>
          <w:highlight w:val="none"/>
        </w:rPr>
      </w:pPr>
      <w:r>
        <w:rPr>
          <w:rFonts w:hint="eastAsia"/>
          <w:color w:val="auto"/>
          <w:highlight w:val="none"/>
        </w:rPr>
        <w:t>近年咸宁南玻节能玻璃有限公司主要能源消耗情况如下表所示：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15</w:t>
      </w:r>
      <w:r>
        <w:rPr>
          <w:color w:val="auto"/>
          <w:highlight w:val="none"/>
        </w:rPr>
        <w:fldChar w:fldCharType="end"/>
      </w:r>
      <w:r>
        <w:rPr>
          <w:color w:val="auto"/>
          <w:highlight w:val="none"/>
        </w:rPr>
        <w:t xml:space="preserve"> </w:t>
      </w:r>
      <w:r>
        <w:rPr>
          <w:rFonts w:hint="eastAsia"/>
          <w:color w:val="auto"/>
          <w:highlight w:val="none"/>
        </w:rPr>
        <w:t>咸宁南玻节能玻璃有限公司近年主要能源消耗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1"/>
        <w:gridCol w:w="1711"/>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4347.13</w:t>
            </w:r>
            <w:r>
              <w:rPr>
                <w:rFonts w:hint="eastAsia"/>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4836.91</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4493.32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5342.62</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5944.56</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5522.29</w:t>
            </w:r>
          </w:p>
        </w:tc>
      </w:tr>
    </w:tbl>
    <w:p>
      <w:pPr>
        <w:pStyle w:val="27"/>
        <w:rPr>
          <w:color w:val="auto"/>
          <w:sz w:val="22"/>
          <w:highlight w:val="none"/>
        </w:rPr>
      </w:pPr>
    </w:p>
    <w:p>
      <w:pPr>
        <w:pStyle w:val="27"/>
        <w:rPr>
          <w:rFonts w:hint="eastAsia" w:ascii="宋体" w:hAnsi="宋体" w:eastAsia="宋体" w:cs="宋体"/>
          <w:color w:val="auto"/>
          <w:kern w:val="0"/>
          <w:sz w:val="28"/>
          <w:szCs w:val="28"/>
          <w:highlight w:val="none"/>
          <w:lang w:val="en-US" w:eastAsia="zh-CN" w:bidi="ar"/>
        </w:rPr>
      </w:pPr>
      <w:r>
        <w:rPr>
          <w:rFonts w:hint="eastAsia"/>
          <w:color w:val="auto"/>
          <w:highlight w:val="none"/>
          <w:lang w:val="en-US" w:eastAsia="zh-CN"/>
        </w:rPr>
        <w:t>咸宁南玻节能玻璃有限公司能效水平处于行业领先水平，</w:t>
      </w:r>
      <w:r>
        <w:rPr>
          <w:rFonts w:hint="eastAsia" w:ascii="宋体" w:hAnsi="宋体" w:eastAsia="宋体" w:cs="宋体"/>
          <w:color w:val="auto"/>
          <w:kern w:val="0"/>
          <w:sz w:val="28"/>
          <w:szCs w:val="28"/>
          <w:highlight w:val="none"/>
          <w:lang w:val="en-US" w:eastAsia="zh-CN" w:bidi="ar"/>
        </w:rPr>
        <w:t>公司入选《工业和信息化部办公厅关于公布第五批绿色制造名单的通知 工信厅节函》（〔2020〕246号）中的“绿色工厂”名单。</w:t>
      </w:r>
    </w:p>
    <w:p>
      <w:pPr>
        <w:rPr>
          <w:rFonts w:hint="eastAsia"/>
          <w:color w:val="auto"/>
          <w:highlight w:val="none"/>
          <w:lang w:val="en-US" w:eastAsia="zh-CN"/>
        </w:rPr>
      </w:pPr>
      <w:r>
        <w:rPr>
          <w:rFonts w:hint="eastAsia"/>
          <w:color w:val="auto"/>
          <w:highlight w:val="none"/>
          <w:lang w:val="en-US" w:eastAsia="zh-CN"/>
        </w:rPr>
        <w:t>作为咸宁高新区重点用能单位，咸宁南玻玻璃有限公司在产品能效水平全国领先的基础上，仍具有深挖节能潜力、提高用能效益的空间。</w:t>
      </w:r>
    </w:p>
    <w:p>
      <w:pPr>
        <w:pStyle w:val="27"/>
        <w:rPr>
          <w:rFonts w:hint="eastAsia"/>
          <w:color w:val="auto"/>
          <w:highlight w:val="none"/>
          <w:lang w:val="en-US" w:eastAsia="zh-CN"/>
        </w:rPr>
      </w:pPr>
      <w:r>
        <w:rPr>
          <w:rFonts w:hint="eastAsia"/>
          <w:color w:val="auto"/>
          <w:highlight w:val="none"/>
          <w:lang w:val="en-US" w:eastAsia="zh-CN"/>
        </w:rPr>
        <w:t>本报告建议：</w:t>
      </w:r>
    </w:p>
    <w:p>
      <w:pPr>
        <w:rPr>
          <w:color w:val="auto"/>
          <w:highlight w:val="none"/>
        </w:rPr>
      </w:pPr>
      <w:r>
        <w:rPr>
          <w:rFonts w:hint="eastAsia"/>
          <w:color w:val="auto"/>
          <w:highlight w:val="none"/>
          <w:lang w:val="en-US" w:eastAsia="zh-CN"/>
        </w:rPr>
        <w:t>开展镀膜线旋片泵、螺杆泵抽气系统节能改造，镀膜线纯水系统RO膜机EDI膜节能改造以降低各项子系统能耗。</w:t>
      </w:r>
    </w:p>
    <w:p>
      <w:pPr>
        <w:pStyle w:val="4"/>
        <w:numPr>
          <w:ilvl w:val="2"/>
          <w:numId w:val="2"/>
        </w:numPr>
        <w:ind w:left="709" w:hanging="709"/>
        <w:rPr>
          <w:color w:val="auto"/>
          <w:highlight w:val="none"/>
        </w:rPr>
      </w:pPr>
      <w:bookmarkStart w:id="53" w:name="_Toc31558"/>
      <w:r>
        <w:rPr>
          <w:rFonts w:hint="eastAsia"/>
          <w:color w:val="auto"/>
          <w:highlight w:val="none"/>
        </w:rPr>
        <w:t>红牛维他命饮料（湖北）有限公司</w:t>
      </w:r>
      <w:bookmarkEnd w:id="53"/>
    </w:p>
    <w:p>
      <w:pPr>
        <w:ind w:firstLine="560"/>
        <w:rPr>
          <w:color w:val="auto"/>
          <w:highlight w:val="none"/>
        </w:rPr>
      </w:pPr>
      <w:r>
        <w:rPr>
          <w:rFonts w:hint="eastAsia"/>
          <w:color w:val="auto"/>
          <w:highlight w:val="none"/>
        </w:rPr>
        <w:t>红牛维他命饮料（湖北）有限公司是由华彬（中国）投资集团有限公司设立的外商独资企业，于2005年8月26日在咸宁市工商行政管理局登记注册，注册资本为6000万美元。本公司经营范围：生产及销售保健食品：红牛维生素功能饮料系列产品；饮料加工及销售等。</w:t>
      </w:r>
    </w:p>
    <w:p>
      <w:pPr>
        <w:ind w:firstLine="560"/>
        <w:rPr>
          <w:color w:val="auto"/>
          <w:highlight w:val="none"/>
        </w:rPr>
      </w:pPr>
      <w:r>
        <w:rPr>
          <w:rFonts w:hint="eastAsia"/>
          <w:color w:val="auto"/>
          <w:highlight w:val="none"/>
        </w:rPr>
        <w:t>该公司总占地面积近600亩,目前三期项目生产线均已全部建成投产，（其中一期于2006年7月投产，二期于2009年7月投产，三期于2012年7月投产）已配备了六条三片罐红牛饮品的600罐/分进口生产线，年生产能力达到1</w:t>
      </w:r>
      <w:r>
        <w:rPr>
          <w:color w:val="auto"/>
          <w:highlight w:val="none"/>
        </w:rPr>
        <w:t>2亿</w:t>
      </w:r>
      <w:r>
        <w:rPr>
          <w:rFonts w:hint="eastAsia"/>
          <w:color w:val="auto"/>
          <w:highlight w:val="none"/>
        </w:rPr>
        <w:t>罐（5000万箱）30万吨红牛饮料生产经营规模。</w:t>
      </w:r>
    </w:p>
    <w:p>
      <w:pPr>
        <w:ind w:firstLine="560"/>
        <w:rPr>
          <w:color w:val="auto"/>
          <w:highlight w:val="none"/>
        </w:rPr>
      </w:pPr>
      <w:r>
        <w:rPr>
          <w:rFonts w:hint="eastAsia"/>
          <w:color w:val="auto"/>
          <w:highlight w:val="none"/>
        </w:rPr>
        <w:t>该公司主要能源消耗种类为天然气、电力与水。其采取的节能措施主要围绕降低电耗与天然气能耗展开，例如已完成的办公楼、车间仓库及园区路灯LED节能灯改造项目、锅炉车间烟气热能回收改造项目、灌装车间洗罐水热能回收改造项目。</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年，该公司单位产品用水量为（水比饮料）1.9，达到《饮料制造取水定额》（</w:t>
      </w:r>
      <w:r>
        <w:rPr>
          <w:color w:val="auto"/>
          <w:highlight w:val="none"/>
        </w:rPr>
        <w:t>QBT 2931-2008</w:t>
      </w:r>
      <w:r>
        <w:rPr>
          <w:rFonts w:hint="eastAsia"/>
          <w:color w:val="auto"/>
          <w:highlight w:val="none"/>
        </w:rPr>
        <w:t>）一级取水定额指标要求；综合能耗19.11kgce</w:t>
      </w:r>
      <w:r>
        <w:rPr>
          <w:color w:val="auto"/>
          <w:highlight w:val="none"/>
        </w:rPr>
        <w:t>/t</w:t>
      </w:r>
      <w:r>
        <w:rPr>
          <w:rFonts w:hint="eastAsia"/>
          <w:color w:val="auto"/>
          <w:highlight w:val="none"/>
        </w:rPr>
        <w:t>，达到《饮料制造综合能耗限额》（QBT 4069-2010）规定的先进值20.00</w:t>
      </w:r>
      <w:r>
        <w:rPr>
          <w:color w:val="auto"/>
          <w:highlight w:val="none"/>
        </w:rPr>
        <w:t xml:space="preserve"> kgce/t</w:t>
      </w:r>
      <w:r>
        <w:rPr>
          <w:rFonts w:hint="eastAsia"/>
          <w:color w:val="auto"/>
          <w:highlight w:val="none"/>
        </w:rPr>
        <w:t>要求。</w:t>
      </w:r>
    </w:p>
    <w:p>
      <w:pPr>
        <w:ind w:firstLine="560"/>
        <w:rPr>
          <w:color w:val="auto"/>
          <w:highlight w:val="none"/>
        </w:rPr>
      </w:pPr>
      <w:r>
        <w:rPr>
          <w:rFonts w:hint="eastAsia"/>
          <w:color w:val="auto"/>
          <w:highlight w:val="none"/>
        </w:rPr>
        <w:t>近年红牛维他命饮料（湖北）有限公司主要能源消耗情况如下表所示：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16</w:t>
      </w:r>
      <w:r>
        <w:rPr>
          <w:color w:val="auto"/>
          <w:highlight w:val="none"/>
        </w:rPr>
        <w:fldChar w:fldCharType="end"/>
      </w:r>
      <w:r>
        <w:rPr>
          <w:color w:val="auto"/>
          <w:highlight w:val="none"/>
        </w:rPr>
        <w:t xml:space="preserve"> </w:t>
      </w:r>
      <w:r>
        <w:rPr>
          <w:rFonts w:hint="eastAsia"/>
          <w:color w:val="auto"/>
          <w:highlight w:val="none"/>
        </w:rPr>
        <w:t>红牛维他命饮料（湖北）有限公司近年主要能源消耗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1"/>
        <w:gridCol w:w="1711"/>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460</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352</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1443</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1243</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1264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汽油（t）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3.93</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8.36</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柴油（t）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37.85</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128.09</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42.40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7535.58</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6069.8</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6288.94</w:t>
            </w:r>
          </w:p>
        </w:tc>
      </w:tr>
    </w:tbl>
    <w:p>
      <w:pPr>
        <w:spacing w:line="240" w:lineRule="auto"/>
        <w:ind w:firstLine="0" w:firstLineChars="0"/>
        <w:rPr>
          <w:color w:val="auto"/>
          <w:sz w:val="21"/>
          <w:highlight w:val="none"/>
        </w:rPr>
      </w:pPr>
    </w:p>
    <w:p>
      <w:pPr>
        <w:pStyle w:val="4"/>
        <w:numPr>
          <w:ilvl w:val="2"/>
          <w:numId w:val="2"/>
        </w:numPr>
        <w:ind w:left="709" w:hanging="709"/>
        <w:rPr>
          <w:color w:val="auto"/>
          <w:highlight w:val="none"/>
        </w:rPr>
      </w:pPr>
      <w:bookmarkStart w:id="54" w:name="_Toc21260"/>
      <w:r>
        <w:rPr>
          <w:rFonts w:hint="eastAsia"/>
          <w:color w:val="auto"/>
          <w:highlight w:val="none"/>
        </w:rPr>
        <w:t>湖北奥瑞金饮料工业有限公司</w:t>
      </w:r>
      <w:bookmarkEnd w:id="54"/>
    </w:p>
    <w:p>
      <w:pPr>
        <w:ind w:firstLine="560"/>
        <w:rPr>
          <w:color w:val="auto"/>
          <w:highlight w:val="none"/>
        </w:rPr>
      </w:pPr>
      <w:r>
        <w:rPr>
          <w:rFonts w:hint="eastAsia"/>
          <w:color w:val="auto"/>
          <w:highlight w:val="none"/>
        </w:rPr>
        <w:t>湖北奥瑞金饮料工业有限公司是奥瑞金包装股份有限公司全资子公司。湖北奥瑞金饮料工业有限公司主要生产线均采用进口设备，生产工艺</w:t>
      </w:r>
      <w:r>
        <w:rPr>
          <w:color w:val="auto"/>
          <w:highlight w:val="none"/>
        </w:rPr>
        <w:t>达到</w:t>
      </w:r>
      <w:r>
        <w:rPr>
          <w:rFonts w:hint="eastAsia"/>
          <w:color w:val="auto"/>
          <w:highlight w:val="none"/>
        </w:rPr>
        <w:t>国际先进水平，该公司现建有三条饮料灌装生产线，年设计产能7.3亿罐瓶。一条纤体罐生产线，可生产250ml、190ml、150ml三种规格的铝制二片罐，生产速度达到1200罐/分钟，年产能达到10亿罐。可用于灌装植物蛋白、茶、咖啡饮料，以及含乳饮料、功能饮料、碳酸饮料、富含果法型碳酸饮料、谷物饮料等冷、热灌装类产品；两条铝瓶罐生线：一条用于生产250ml、200ml两种规格的，可再封旋口铝瓶罐，生产速度可达600瓶/分钟，年产能5亿瓶，适用于植物蛋白饮料、含乳饮料、茶饮料、咖啡饮料、功能饮料等热灌装类产品。另一条专门生产啤酒铝瓶罐，年产能5亿瓶。</w:t>
      </w:r>
    </w:p>
    <w:p>
      <w:pPr>
        <w:ind w:firstLine="560"/>
        <w:rPr>
          <w:color w:val="auto"/>
          <w:highlight w:val="none"/>
        </w:rPr>
      </w:pPr>
      <w:r>
        <w:rPr>
          <w:rFonts w:hint="eastAsia"/>
          <w:color w:val="auto"/>
          <w:highlight w:val="none"/>
        </w:rPr>
        <w:t>近年湖北奥瑞金饮料工业有限公司主要能源消耗情况如下表所示：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17</w:t>
      </w:r>
      <w:r>
        <w:rPr>
          <w:color w:val="auto"/>
          <w:highlight w:val="none"/>
        </w:rPr>
        <w:fldChar w:fldCharType="end"/>
      </w:r>
      <w:r>
        <w:rPr>
          <w:color w:val="auto"/>
          <w:highlight w:val="none"/>
        </w:rPr>
        <w:t xml:space="preserve"> </w:t>
      </w:r>
      <w:r>
        <w:rPr>
          <w:rFonts w:hint="eastAsia"/>
          <w:color w:val="auto"/>
          <w:highlight w:val="none"/>
        </w:rPr>
        <w:t>湖北奥瑞金饮料工业有限公司近年主要能源消耗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0"/>
        <w:gridCol w:w="1710"/>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10"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85</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243</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295.33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506</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521</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988.55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1556.87</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3313.31</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4463.56</w:t>
            </w:r>
          </w:p>
        </w:tc>
      </w:tr>
    </w:tbl>
    <w:p>
      <w:pPr>
        <w:spacing w:line="240" w:lineRule="auto"/>
        <w:ind w:firstLine="0" w:firstLineChars="0"/>
        <w:rPr>
          <w:color w:val="auto"/>
          <w:sz w:val="18"/>
          <w:highlight w:val="none"/>
        </w:rPr>
      </w:pPr>
    </w:p>
    <w:p>
      <w:pPr>
        <w:pStyle w:val="4"/>
        <w:numPr>
          <w:ilvl w:val="2"/>
          <w:numId w:val="2"/>
        </w:numPr>
        <w:ind w:left="709" w:hanging="709"/>
        <w:rPr>
          <w:color w:val="auto"/>
          <w:highlight w:val="none"/>
        </w:rPr>
      </w:pPr>
      <w:bookmarkStart w:id="55" w:name="_Toc11513"/>
      <w:r>
        <w:rPr>
          <w:rFonts w:hint="eastAsia"/>
          <w:color w:val="auto"/>
          <w:highlight w:val="none"/>
        </w:rPr>
        <w:t>今麦郎饮品（咸宁）有限公司</w:t>
      </w:r>
      <w:bookmarkEnd w:id="55"/>
    </w:p>
    <w:p>
      <w:pPr>
        <w:ind w:firstLine="560"/>
        <w:rPr>
          <w:color w:val="auto"/>
          <w:highlight w:val="none"/>
        </w:rPr>
      </w:pPr>
      <w:r>
        <w:rPr>
          <w:rFonts w:hint="eastAsia"/>
          <w:color w:val="auto"/>
          <w:highlight w:val="none"/>
        </w:rPr>
        <w:t>今麦郎饮品（咸宁）有限公司是我国食品饮料行业龙头企业和国家级农业产业化龙头企业</w:t>
      </w:r>
      <w:r>
        <w:rPr>
          <w:color w:val="auto"/>
          <w:highlight w:val="none"/>
        </w:rPr>
        <w:t>——</w:t>
      </w:r>
      <w:r>
        <w:rPr>
          <w:rFonts w:hint="eastAsia"/>
          <w:color w:val="auto"/>
          <w:highlight w:val="none"/>
        </w:rPr>
        <w:t>今麦郎集团的全资分公司。今麦郎饮品已完成总投资3亿元人民币，占地300余亩，建筑面积40000平方米，现有员工260余人，其中45%的员工拥有大专以上学历。该公司主要致力于瓶装水、果汁饮料及茶饮料的生产、销售，从创业之初就定位以追求“高质量、高品位、高标准”为目标，采用产区原料加工，消费区灌装的科学生产布局，实现规模化经营，先后投巨资从德国、法国、意大利等国家引进饮料灌装生产线四条，同时配套饮料包装塑料容器生产线四条，可年产瓶装水及饮料50万吨。产品有瓶装水、茶饮料、果蔬饮料、轻口味特色饮料等四大系列，12个品种，生产规模、产品总销量、市场占有率连续3年位居华东地区前列。</w:t>
      </w:r>
    </w:p>
    <w:p>
      <w:pPr>
        <w:ind w:firstLine="560"/>
        <w:rPr>
          <w:color w:val="auto"/>
          <w:highlight w:val="none"/>
        </w:rPr>
      </w:pPr>
      <w:r>
        <w:rPr>
          <w:rFonts w:hint="eastAsia"/>
          <w:color w:val="auto"/>
          <w:highlight w:val="none"/>
        </w:rPr>
        <w:t>该公司主要设备引进法国SIDEL COMBI、德国KRONES三位一体全自动生产线，水处理采用美国海德能RO膜和超滤等先进工艺。其具有技术含量高，操作性能较好，自动化程度高，节能减排效果好的优点，能有效降低产品生产成本及能耗。</w:t>
      </w:r>
    </w:p>
    <w:p>
      <w:pPr>
        <w:ind w:firstLine="560"/>
        <w:rPr>
          <w:color w:val="auto"/>
          <w:highlight w:val="none"/>
        </w:rPr>
      </w:pPr>
      <w:r>
        <w:rPr>
          <w:rFonts w:hint="eastAsia"/>
          <w:color w:val="auto"/>
          <w:highlight w:val="none"/>
        </w:rPr>
        <w:t>近年今麦郎饮品（咸宁）有限公司主要能源消耗情况如下表所示：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18</w:t>
      </w:r>
      <w:r>
        <w:rPr>
          <w:color w:val="auto"/>
          <w:highlight w:val="none"/>
        </w:rPr>
        <w:fldChar w:fldCharType="end"/>
      </w:r>
      <w:r>
        <w:rPr>
          <w:color w:val="auto"/>
          <w:highlight w:val="none"/>
        </w:rPr>
        <w:t xml:space="preserve"> </w:t>
      </w:r>
      <w:r>
        <w:rPr>
          <w:rFonts w:hint="eastAsia"/>
          <w:color w:val="auto"/>
          <w:highlight w:val="none"/>
        </w:rPr>
        <w:t>今麦郎饮品（咸宁）有限公司近年主要能源消耗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0"/>
        <w:gridCol w:w="1710"/>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10"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10" w:type="pct"/>
            <w:vAlign w:val="center"/>
          </w:tcPr>
          <w:p>
            <w:pPr>
              <w:spacing w:line="240" w:lineRule="auto"/>
              <w:ind w:firstLine="0" w:firstLineChars="0"/>
              <w:jc w:val="center"/>
              <w:rPr>
                <w:color w:val="auto"/>
                <w:sz w:val="24"/>
                <w:highlight w:val="none"/>
              </w:rPr>
            </w:pPr>
            <w:r>
              <w:rPr>
                <w:rFonts w:hint="eastAsia"/>
                <w:color w:val="auto"/>
                <w:sz w:val="24"/>
                <w:highlight w:val="none"/>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汽油（t）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13.5</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5.4</w:t>
            </w:r>
          </w:p>
        </w:tc>
        <w:tc>
          <w:tcPr>
            <w:tcW w:w="1010" w:type="pct"/>
            <w:vAlign w:val="center"/>
          </w:tcPr>
          <w:p>
            <w:pPr>
              <w:spacing w:line="240" w:lineRule="auto"/>
              <w:ind w:firstLine="0" w:firstLineChars="0"/>
              <w:jc w:val="center"/>
              <w:rPr>
                <w:color w:val="auto"/>
                <w:sz w:val="24"/>
                <w:highlight w:val="none"/>
              </w:rPr>
            </w:pPr>
            <w:r>
              <w:rPr>
                <w:rFonts w:hint="eastAsia"/>
                <w:color w:val="auto"/>
                <w:sz w:val="24"/>
                <w:highlight w:val="none"/>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1211</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1751</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1747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1508.18</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2159.92</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3222.6</w:t>
            </w:r>
          </w:p>
        </w:tc>
      </w:tr>
    </w:tbl>
    <w:p>
      <w:pPr>
        <w:spacing w:line="240" w:lineRule="auto"/>
        <w:ind w:firstLine="260"/>
        <w:rPr>
          <w:color w:val="auto"/>
          <w:sz w:val="13"/>
          <w:highlight w:val="none"/>
        </w:rPr>
      </w:pPr>
    </w:p>
    <w:p>
      <w:pPr>
        <w:pStyle w:val="4"/>
        <w:numPr>
          <w:ilvl w:val="2"/>
          <w:numId w:val="2"/>
        </w:numPr>
        <w:ind w:left="709" w:hanging="709"/>
        <w:rPr>
          <w:color w:val="auto"/>
          <w:highlight w:val="none"/>
        </w:rPr>
      </w:pPr>
      <w:bookmarkStart w:id="56" w:name="_Toc20199"/>
      <w:r>
        <w:rPr>
          <w:rFonts w:hint="eastAsia"/>
          <w:color w:val="auto"/>
          <w:highlight w:val="none"/>
        </w:rPr>
        <w:t>湖北恒丰纸业有限公司</w:t>
      </w:r>
      <w:bookmarkEnd w:id="56"/>
    </w:p>
    <w:p>
      <w:pPr>
        <w:ind w:firstLine="560"/>
        <w:rPr>
          <w:color w:val="auto"/>
          <w:highlight w:val="none"/>
        </w:rPr>
      </w:pPr>
      <w:r>
        <w:rPr>
          <w:rFonts w:hint="eastAsia"/>
          <w:color w:val="auto"/>
          <w:highlight w:val="none"/>
        </w:rPr>
        <w:t>湖北恒丰纸业有限责任公司成立于2005年，于2005年11月28日经咸宁市工商局核准，由牡丹江恒丰纸业股份有限公司、武汉烟草（公司）有限公司、湖北省咸宁市投资公司和湖北中烟工业公司共同出资成立的有限责任公司。公司经营范围为：卷烟纸的生产、销售，成型纸、铝箔衬纸、口花及其他纸的制造、分切加工、销售，造纸原辅料生产、销售及技术开发，造纸机械设备的加工、安装和维修等。</w:t>
      </w:r>
    </w:p>
    <w:p>
      <w:pPr>
        <w:ind w:firstLine="560"/>
        <w:rPr>
          <w:color w:val="auto"/>
          <w:highlight w:val="none"/>
        </w:rPr>
      </w:pPr>
      <w:r>
        <w:rPr>
          <w:rFonts w:hint="eastAsia"/>
          <w:color w:val="auto"/>
          <w:highlight w:val="none"/>
        </w:rPr>
        <w:t>恒丰纸业现拥有2160及1880纸机，主要生产和销售铝箔衬纸。年产能约为10000吨。公司在生产过程中主要的能源消耗是电力和天然气，电力为生产设备，锅炉设备，生产照明等耗用；天然气为天然气锅炉耗用。电力年消费量约1000万kW</w:t>
      </w:r>
      <w:r>
        <w:rPr>
          <w:color w:val="auto"/>
          <w:highlight w:val="none"/>
        </w:rPr>
        <w:t>·</w:t>
      </w:r>
      <w:r>
        <w:rPr>
          <w:rFonts w:hint="eastAsia"/>
          <w:color w:val="auto"/>
          <w:highlight w:val="none"/>
        </w:rPr>
        <w:t>h，天然气年消费量约250万m</w:t>
      </w:r>
      <w:r>
        <w:rPr>
          <w:color w:val="auto"/>
          <w:highlight w:val="none"/>
          <w:vertAlign w:val="superscript"/>
        </w:rPr>
        <w:t>3</w:t>
      </w:r>
      <w:r>
        <w:rPr>
          <w:rFonts w:hint="eastAsia"/>
          <w:color w:val="auto"/>
          <w:highlight w:val="none"/>
        </w:rPr>
        <w:t>，其中天然气为近年</w:t>
      </w:r>
      <w:r>
        <w:rPr>
          <w:color w:val="auto"/>
          <w:highlight w:val="none"/>
        </w:rPr>
        <w:t>才使用</w:t>
      </w:r>
      <w:r>
        <w:rPr>
          <w:rFonts w:hint="eastAsia"/>
          <w:color w:val="auto"/>
          <w:highlight w:val="none"/>
        </w:rPr>
        <w:t>，公司原有一台燃烧生物质燃料的锅炉，为响应国家对环境保护方面的要求，2018年8年淘汰了生物质锅炉，启用了天然气锅炉。</w:t>
      </w:r>
    </w:p>
    <w:p>
      <w:pPr>
        <w:ind w:firstLine="560"/>
        <w:rPr>
          <w:color w:val="auto"/>
          <w:highlight w:val="none"/>
        </w:rPr>
      </w:pPr>
      <w:r>
        <w:rPr>
          <w:rFonts w:hint="eastAsia"/>
          <w:color w:val="auto"/>
          <w:highlight w:val="none"/>
        </w:rPr>
        <w:t>由于工艺技术要求，该公司20</w:t>
      </w:r>
      <w:r>
        <w:rPr>
          <w:rFonts w:hint="eastAsia"/>
          <w:color w:val="auto"/>
          <w:highlight w:val="none"/>
          <w:lang w:val="en-US" w:eastAsia="zh-CN"/>
        </w:rPr>
        <w:t>22</w:t>
      </w:r>
      <w:r>
        <w:rPr>
          <w:rFonts w:hint="eastAsia"/>
          <w:color w:val="auto"/>
          <w:highlight w:val="none"/>
        </w:rPr>
        <w:t>年单位铝箔衬纸产品能耗为467kgce</w:t>
      </w:r>
      <w:r>
        <w:rPr>
          <w:color w:val="auto"/>
          <w:highlight w:val="none"/>
        </w:rPr>
        <w:t>/t</w:t>
      </w:r>
      <w:r>
        <w:rPr>
          <w:rFonts w:hint="eastAsia"/>
          <w:color w:val="auto"/>
          <w:highlight w:val="none"/>
        </w:rPr>
        <w:t>，高于常规纸品，暂无能耗</w:t>
      </w:r>
      <w:r>
        <w:rPr>
          <w:color w:val="auto"/>
          <w:highlight w:val="none"/>
        </w:rPr>
        <w:t>限额标准</w:t>
      </w:r>
      <w:r>
        <w:rPr>
          <w:rFonts w:hint="eastAsia"/>
          <w:color w:val="auto"/>
          <w:highlight w:val="none"/>
        </w:rPr>
        <w:t>。</w:t>
      </w:r>
    </w:p>
    <w:p>
      <w:pPr>
        <w:ind w:firstLine="560"/>
        <w:rPr>
          <w:color w:val="auto"/>
          <w:highlight w:val="none"/>
        </w:rPr>
      </w:pPr>
      <w:r>
        <w:rPr>
          <w:rFonts w:hint="eastAsia"/>
          <w:color w:val="auto"/>
          <w:highlight w:val="none"/>
        </w:rPr>
        <w:t>近年湖北恒丰纸业有限公司主要能源消耗情况如下表所示：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19</w:t>
      </w:r>
      <w:r>
        <w:rPr>
          <w:color w:val="auto"/>
          <w:highlight w:val="none"/>
        </w:rPr>
        <w:fldChar w:fldCharType="end"/>
      </w:r>
      <w:r>
        <w:rPr>
          <w:color w:val="auto"/>
          <w:highlight w:val="none"/>
        </w:rPr>
        <w:t xml:space="preserve"> </w:t>
      </w:r>
      <w:r>
        <w:rPr>
          <w:rFonts w:hint="eastAsia"/>
          <w:color w:val="auto"/>
          <w:highlight w:val="none"/>
        </w:rPr>
        <w:t>湖北恒丰纸业有限公司近年主要能源消耗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0"/>
        <w:gridCol w:w="1710"/>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10"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1009"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89</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114.9</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250.92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1004</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10</w:t>
            </w:r>
            <w:r>
              <w:rPr>
                <w:color w:val="auto"/>
                <w:sz w:val="24"/>
                <w:highlight w:val="none"/>
              </w:rPr>
              <w:t>33</w:t>
            </w:r>
          </w:p>
        </w:tc>
        <w:tc>
          <w:tcPr>
            <w:tcW w:w="1010" w:type="pct"/>
            <w:vAlign w:val="center"/>
          </w:tcPr>
          <w:p>
            <w:pPr>
              <w:spacing w:line="240" w:lineRule="auto"/>
              <w:ind w:firstLine="0" w:firstLineChars="0"/>
              <w:jc w:val="center"/>
              <w:rPr>
                <w:color w:val="auto"/>
                <w:sz w:val="24"/>
                <w:highlight w:val="none"/>
              </w:rPr>
            </w:pPr>
            <w:r>
              <w:rPr>
                <w:rFonts w:hint="eastAsia"/>
                <w:color w:val="auto"/>
                <w:sz w:val="24"/>
                <w:highlight w:val="none"/>
              </w:rPr>
              <w:t>942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bottom w:val="single" w:color="auto" w:sz="4" w:space="0"/>
            </w:tcBorders>
            <w:vAlign w:val="center"/>
          </w:tcPr>
          <w:p>
            <w:pPr>
              <w:spacing w:line="240" w:lineRule="auto"/>
              <w:ind w:firstLine="0" w:firstLineChars="0"/>
              <w:jc w:val="center"/>
              <w:rPr>
                <w:color w:val="auto"/>
                <w:sz w:val="24"/>
                <w:highlight w:val="none"/>
              </w:rPr>
            </w:pPr>
            <w:r>
              <w:rPr>
                <w:rFonts w:hint="eastAsia"/>
                <w:color w:val="auto"/>
                <w:sz w:val="24"/>
                <w:highlight w:val="none"/>
              </w:rPr>
              <w:t>生物质燃料</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rFonts w:hint="eastAsia"/>
                <w:color w:val="auto"/>
                <w:sz w:val="24"/>
                <w:highlight w:val="none"/>
              </w:rPr>
              <w:t>922</w:t>
            </w:r>
            <w:r>
              <w:rPr>
                <w:color w:val="auto"/>
                <w:sz w:val="24"/>
                <w:highlight w:val="none"/>
              </w:rPr>
              <w:t>2</w:t>
            </w:r>
            <w:r>
              <w:rPr>
                <w:rFonts w:hint="eastAsia"/>
                <w:color w:val="auto"/>
                <w:sz w:val="24"/>
                <w:highlight w:val="none"/>
              </w:rPr>
              <w:t>.6</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rFonts w:hint="eastAsia"/>
                <w:color w:val="auto"/>
                <w:sz w:val="24"/>
                <w:highlight w:val="none"/>
              </w:rPr>
              <w:t>5467.5</w:t>
            </w:r>
          </w:p>
        </w:tc>
        <w:tc>
          <w:tcPr>
            <w:tcW w:w="1010"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bottom w:val="single" w:color="auto" w:sz="4" w:space="0"/>
            </w:tcBorders>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5449.66</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5163.98</w:t>
            </w:r>
          </w:p>
        </w:tc>
        <w:tc>
          <w:tcPr>
            <w:tcW w:w="1010"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4204.64</w:t>
            </w:r>
          </w:p>
        </w:tc>
      </w:tr>
    </w:tbl>
    <w:p>
      <w:pPr>
        <w:spacing w:line="240" w:lineRule="auto"/>
        <w:ind w:firstLine="0" w:firstLineChars="0"/>
        <w:rPr>
          <w:color w:val="auto"/>
          <w:sz w:val="24"/>
          <w:highlight w:val="none"/>
        </w:rPr>
      </w:pPr>
    </w:p>
    <w:p>
      <w:pPr>
        <w:pStyle w:val="4"/>
        <w:numPr>
          <w:ilvl w:val="2"/>
          <w:numId w:val="2"/>
        </w:numPr>
        <w:ind w:left="709" w:hanging="709"/>
        <w:rPr>
          <w:color w:val="auto"/>
          <w:highlight w:val="none"/>
        </w:rPr>
      </w:pPr>
      <w:bookmarkStart w:id="57" w:name="_Toc8108"/>
      <w:r>
        <w:rPr>
          <w:rFonts w:hint="eastAsia"/>
          <w:color w:val="auto"/>
          <w:highlight w:val="none"/>
        </w:rPr>
        <w:t>湖北天化麻业股份有限公司</w:t>
      </w:r>
      <w:bookmarkEnd w:id="57"/>
    </w:p>
    <w:p>
      <w:pPr>
        <w:ind w:firstLine="560"/>
        <w:rPr>
          <w:color w:val="auto"/>
          <w:highlight w:val="none"/>
        </w:rPr>
      </w:pPr>
      <w:r>
        <w:rPr>
          <w:rFonts w:hint="eastAsia"/>
          <w:color w:val="auto"/>
          <w:highlight w:val="none"/>
        </w:rPr>
        <w:t>湖北天化麻业股份有限公司是从苎麻脱胶到纱线生产的苎麻纺织企业，主要产品为苎麻棉混纺本色纱线。公司总资产43705万元，占地面积504亩，拥有长麻纺、短麻纺16万锭的生产规模，居全国同行业三强。</w:t>
      </w:r>
    </w:p>
    <w:p>
      <w:pPr>
        <w:ind w:firstLine="560"/>
        <w:rPr>
          <w:color w:val="auto"/>
          <w:highlight w:val="none"/>
        </w:rPr>
      </w:pPr>
      <w:r>
        <w:rPr>
          <w:rFonts w:hint="eastAsia"/>
          <w:color w:val="auto"/>
          <w:highlight w:val="none"/>
        </w:rPr>
        <w:t>该公司生产设备全部选用国内外最先进的生产装备，并条机选用瑞士立达RSR-D401C型，络筒机选用德国赐来福公司AC338D型。公司拥有先进的技术工艺水平和强大的技术创新能力。公司建有集科研、实验、检测为一体的省级技术中心，并取得了一项“湖北省重大科技成果”，一项中国纺织工作协会“纺织之光”2010科技成果二等奖，四项发明专利、十二项实用新型专利。</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年，该</w:t>
      </w:r>
      <w:r>
        <w:rPr>
          <w:color w:val="auto"/>
          <w:highlight w:val="none"/>
        </w:rPr>
        <w:t>公司</w:t>
      </w:r>
      <w:r>
        <w:rPr>
          <w:rFonts w:hint="eastAsia"/>
          <w:color w:val="auto"/>
          <w:highlight w:val="none"/>
        </w:rPr>
        <w:t>生产各种纱线8000吨，</w:t>
      </w:r>
      <w:r>
        <w:rPr>
          <w:color w:val="auto"/>
          <w:highlight w:val="none"/>
        </w:rPr>
        <w:t>吨产品能耗为</w:t>
      </w:r>
      <w:r>
        <w:rPr>
          <w:rFonts w:hint="eastAsia"/>
          <w:color w:val="auto"/>
          <w:highlight w:val="none"/>
        </w:rPr>
        <w:t>0.44</w:t>
      </w:r>
      <w:r>
        <w:rPr>
          <w:color w:val="auto"/>
          <w:highlight w:val="none"/>
        </w:rPr>
        <w:t>kgce/t</w:t>
      </w:r>
      <w:r>
        <w:rPr>
          <w:rFonts w:hint="eastAsia"/>
          <w:color w:val="auto"/>
          <w:highlight w:val="none"/>
        </w:rPr>
        <w:t>，由于</w:t>
      </w:r>
      <w:r>
        <w:rPr>
          <w:color w:val="auto"/>
          <w:highlight w:val="none"/>
        </w:rPr>
        <w:t>主要产品为</w:t>
      </w:r>
      <w:r>
        <w:rPr>
          <w:rFonts w:hint="eastAsia"/>
          <w:color w:val="auto"/>
          <w:highlight w:val="none"/>
        </w:rPr>
        <w:t>苎麻棉混纺纱线，</w:t>
      </w:r>
      <w:r>
        <w:rPr>
          <w:color w:val="auto"/>
          <w:highlight w:val="none"/>
        </w:rPr>
        <w:t>暂</w:t>
      </w:r>
      <w:r>
        <w:rPr>
          <w:rFonts w:hint="eastAsia"/>
          <w:color w:val="auto"/>
          <w:highlight w:val="none"/>
        </w:rPr>
        <w:t>无对应能耗</w:t>
      </w:r>
      <w:r>
        <w:rPr>
          <w:color w:val="auto"/>
          <w:highlight w:val="none"/>
        </w:rPr>
        <w:t>限额标准。</w:t>
      </w:r>
    </w:p>
    <w:p>
      <w:pPr>
        <w:ind w:firstLine="560"/>
        <w:rPr>
          <w:color w:val="auto"/>
          <w:highlight w:val="none"/>
        </w:rPr>
      </w:pPr>
      <w:r>
        <w:rPr>
          <w:rFonts w:hint="eastAsia"/>
          <w:color w:val="auto"/>
          <w:highlight w:val="none"/>
        </w:rPr>
        <w:t>近年湖北天化麻业股份有限公司主要能源消耗情况如下表所示：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20</w:t>
      </w:r>
      <w:r>
        <w:rPr>
          <w:color w:val="auto"/>
          <w:highlight w:val="none"/>
        </w:rPr>
        <w:fldChar w:fldCharType="end"/>
      </w:r>
      <w:r>
        <w:rPr>
          <w:color w:val="auto"/>
          <w:highlight w:val="none"/>
        </w:rPr>
        <w:t xml:space="preserve"> </w:t>
      </w:r>
      <w:r>
        <w:rPr>
          <w:rFonts w:hint="eastAsia"/>
          <w:color w:val="auto"/>
          <w:highlight w:val="none"/>
        </w:rPr>
        <w:t>湖北天化麻业股份有限公司近年主要能源消耗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0"/>
        <w:gridCol w:w="1710"/>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10"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2515</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2725</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2895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bottom w:val="single" w:color="auto" w:sz="4" w:space="0"/>
            </w:tcBorders>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3047.92</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3291.26</w:t>
            </w:r>
          </w:p>
        </w:tc>
        <w:tc>
          <w:tcPr>
            <w:tcW w:w="1010"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3497.73</w:t>
            </w:r>
          </w:p>
        </w:tc>
      </w:tr>
    </w:tbl>
    <w:p>
      <w:pPr>
        <w:spacing w:line="240" w:lineRule="auto"/>
        <w:ind w:firstLine="0" w:firstLineChars="0"/>
        <w:rPr>
          <w:color w:val="auto"/>
          <w:sz w:val="24"/>
          <w:highlight w:val="none"/>
        </w:rPr>
      </w:pPr>
    </w:p>
    <w:p>
      <w:pPr>
        <w:ind w:firstLine="0" w:firstLineChars="0"/>
        <w:rPr>
          <w:color w:val="auto"/>
          <w:highlight w:val="none"/>
        </w:rPr>
      </w:pPr>
    </w:p>
    <w:p>
      <w:pPr>
        <w:ind w:firstLine="0" w:firstLineChars="0"/>
        <w:rPr>
          <w:color w:val="auto"/>
          <w:highlight w:val="none"/>
        </w:rPr>
        <w:sectPr>
          <w:pgSz w:w="11906" w:h="16838"/>
          <w:pgMar w:top="1440" w:right="1800" w:bottom="1440" w:left="1800" w:header="850" w:footer="992" w:gutter="0"/>
          <w:cols w:space="425" w:num="1"/>
          <w:docGrid w:type="lines" w:linePitch="381" w:charSpace="0"/>
        </w:sectPr>
      </w:pPr>
    </w:p>
    <w:p>
      <w:pPr>
        <w:pStyle w:val="2"/>
        <w:numPr>
          <w:ilvl w:val="0"/>
          <w:numId w:val="2"/>
        </w:numPr>
        <w:ind w:left="425" w:leftChars="0" w:hanging="425" w:firstLineChars="0"/>
        <w:rPr>
          <w:color w:val="auto"/>
          <w:highlight w:val="none"/>
        </w:rPr>
      </w:pPr>
      <w:bookmarkStart w:id="58" w:name="_Toc30880"/>
      <w:r>
        <w:rPr>
          <w:rFonts w:hint="eastAsia"/>
          <w:color w:val="auto"/>
          <w:highlight w:val="none"/>
        </w:rPr>
        <w:t>区域</w:t>
      </w:r>
      <w:r>
        <w:rPr>
          <w:color w:val="auto"/>
          <w:highlight w:val="none"/>
        </w:rPr>
        <w:t>行业类别界定及负面清单</w:t>
      </w:r>
      <w:bookmarkEnd w:id="58"/>
    </w:p>
    <w:p>
      <w:pPr>
        <w:pStyle w:val="3"/>
        <w:numPr>
          <w:ilvl w:val="1"/>
          <w:numId w:val="2"/>
        </w:numPr>
        <w:ind w:left="567" w:hanging="567"/>
        <w:rPr>
          <w:color w:val="auto"/>
          <w:highlight w:val="none"/>
        </w:rPr>
      </w:pPr>
      <w:bookmarkStart w:id="59" w:name="_Toc32555"/>
      <w:r>
        <w:rPr>
          <w:rFonts w:hint="eastAsia"/>
          <w:color w:val="auto"/>
          <w:highlight w:val="none"/>
        </w:rPr>
        <w:t>区域内行业类型的划分</w:t>
      </w:r>
      <w:bookmarkEnd w:id="59"/>
    </w:p>
    <w:p>
      <w:pPr>
        <w:pStyle w:val="4"/>
        <w:numPr>
          <w:ilvl w:val="2"/>
          <w:numId w:val="2"/>
        </w:numPr>
        <w:ind w:left="709" w:hanging="709"/>
        <w:rPr>
          <w:rFonts w:hint="default" w:ascii="Times New Roman" w:hAnsi="Times New Roman" w:eastAsia="宋体" w:cs="Times New Roman"/>
          <w:color w:val="auto"/>
          <w:highlight w:val="none"/>
        </w:rPr>
      </w:pPr>
      <w:bookmarkStart w:id="60" w:name="_Toc7622"/>
      <w:bookmarkStart w:id="61" w:name="_Toc6976"/>
      <w:bookmarkStart w:id="62" w:name="_Toc24583"/>
      <w:bookmarkStart w:id="63" w:name="_Toc17383"/>
      <w:bookmarkStart w:id="64" w:name="_Toc502733603"/>
      <w:bookmarkStart w:id="65" w:name="_Toc66890964"/>
      <w:r>
        <w:rPr>
          <w:rFonts w:hint="default" w:ascii="Times New Roman" w:hAnsi="Times New Roman" w:eastAsia="宋体" w:cs="Times New Roman"/>
          <w:color w:val="auto"/>
          <w:highlight w:val="none"/>
        </w:rPr>
        <w:t>第一产业行业类型的划分</w:t>
      </w:r>
      <w:bookmarkEnd w:id="60"/>
      <w:bookmarkEnd w:id="61"/>
      <w:bookmarkEnd w:id="62"/>
      <w:bookmarkEnd w:id="63"/>
      <w:bookmarkEnd w:id="64"/>
      <w:bookmarkEnd w:id="65"/>
    </w:p>
    <w:p>
      <w:pPr>
        <w:ind w:firstLine="56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按《国民经济行业分类》（GB/T 4754—2017），第一产业主要分为农业、林业、畜牧业、渔业和农、林、牧、渔服务业五大行业。</w:t>
      </w:r>
    </w:p>
    <w:p>
      <w:pPr>
        <w:pStyle w:val="4"/>
        <w:numPr>
          <w:ilvl w:val="2"/>
          <w:numId w:val="2"/>
        </w:numPr>
        <w:ind w:left="709" w:hanging="709"/>
        <w:rPr>
          <w:rFonts w:hint="default" w:ascii="Times New Roman" w:hAnsi="Times New Roman" w:eastAsia="宋体" w:cs="Times New Roman"/>
          <w:color w:val="auto"/>
          <w:highlight w:val="none"/>
        </w:rPr>
      </w:pPr>
      <w:bookmarkStart w:id="66" w:name="_Toc14321"/>
      <w:bookmarkStart w:id="67" w:name="_Toc18513"/>
      <w:bookmarkStart w:id="68" w:name="_Toc66890965"/>
      <w:bookmarkStart w:id="69" w:name="_Toc28926"/>
      <w:bookmarkStart w:id="70" w:name="_Toc4049"/>
      <w:bookmarkStart w:id="71" w:name="_Toc502733604"/>
      <w:r>
        <w:rPr>
          <w:rFonts w:hint="default" w:ascii="Times New Roman" w:hAnsi="Times New Roman" w:eastAsia="宋体" w:cs="Times New Roman"/>
          <w:color w:val="auto"/>
          <w:highlight w:val="none"/>
        </w:rPr>
        <w:t>第二产业行业类型的划分</w:t>
      </w:r>
      <w:bookmarkEnd w:id="66"/>
      <w:bookmarkEnd w:id="67"/>
      <w:bookmarkEnd w:id="68"/>
      <w:bookmarkEnd w:id="69"/>
      <w:bookmarkEnd w:id="70"/>
      <w:bookmarkEnd w:id="71"/>
    </w:p>
    <w:p>
      <w:pPr>
        <w:pStyle w:val="24"/>
        <w:widowControl w:val="0"/>
        <w:spacing w:before="0" w:beforeAutospacing="0" w:after="0" w:afterAutospacing="0"/>
        <w:ind w:firstLine="560"/>
        <w:jc w:val="both"/>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按</w:t>
      </w:r>
      <w:r>
        <w:rPr>
          <w:rFonts w:hint="default" w:ascii="Times New Roman" w:hAnsi="Times New Roman" w:eastAsia="宋体" w:cs="Times New Roman"/>
          <w:color w:val="auto"/>
          <w:kern w:val="2"/>
          <w:sz w:val="28"/>
          <w:szCs w:val="22"/>
          <w:highlight w:val="none"/>
        </w:rPr>
        <w:t>《国民经济行业分类》（GB/T 4754—2017）</w:t>
      </w:r>
      <w:r>
        <w:rPr>
          <w:rFonts w:hint="default" w:ascii="Times New Roman" w:hAnsi="Times New Roman" w:eastAsia="宋体" w:cs="Times New Roman"/>
          <w:color w:val="auto"/>
          <w:sz w:val="28"/>
          <w:szCs w:val="28"/>
          <w:highlight w:val="none"/>
        </w:rPr>
        <w:t>，第二产业按大类分为工业和建筑业两大类，其中工业包括B类（采矿业）、C类（制造业）和D类（电力、热力、燃气及水生产和供应业）三大类型，建筑业为E类共计包含四类（房屋建筑业、土木工程建筑业、建筑安装业、建筑装饰、装修和其他建筑业）。</w:t>
      </w:r>
    </w:p>
    <w:p>
      <w:pPr>
        <w:pStyle w:val="24"/>
        <w:widowControl w:val="0"/>
        <w:numPr>
          <w:ilvl w:val="0"/>
          <w:numId w:val="9"/>
        </w:numPr>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B类行业划分</w:t>
      </w:r>
    </w:p>
    <w:p>
      <w:pPr>
        <w:pStyle w:val="24"/>
        <w:widowControl w:val="0"/>
        <w:spacing w:before="0" w:beforeAutospacing="0" w:after="0" w:afterAutospacing="0"/>
        <w:ind w:firstLine="560"/>
        <w:jc w:val="both"/>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其中B类（采矿业）：包括06～12大类共计6大行业，采矿业指对固体（如煤和矿物）、液体（如原油）或气体（如天然气）等自然产生的矿物的采掘；包括地下或地上采掘、矿井的运行，以及一般在矿址或矿址附近从事的旨在加工原材料的所有辅助性工作，例如碾磨、选矿和处理，均属本类活动；还包括使原料得以销售所需的准备工作；不包括水的蓄集、净化和分配，以及地质勘查、建筑工程活动。</w:t>
      </w:r>
    </w:p>
    <w:p>
      <w:pPr>
        <w:pStyle w:val="24"/>
        <w:widowControl w:val="0"/>
        <w:numPr>
          <w:ilvl w:val="0"/>
          <w:numId w:val="9"/>
        </w:numPr>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C类行业划分</w:t>
      </w:r>
    </w:p>
    <w:p>
      <w:pPr>
        <w:pStyle w:val="24"/>
        <w:widowControl w:val="0"/>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C类制造业是开发区主要行业类型之一，C类包括13～43大类，指经物理变化或化学变化后成为新的产品，不论是动力机械制造，还是手工制作；也不论产品是批发销售，还是零售，均视为制造。</w:t>
      </w:r>
    </w:p>
    <w:p>
      <w:pPr>
        <w:pStyle w:val="24"/>
        <w:widowControl w:val="0"/>
        <w:numPr>
          <w:ilvl w:val="0"/>
          <w:numId w:val="9"/>
        </w:numPr>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D类行业划分</w:t>
      </w:r>
    </w:p>
    <w:p>
      <w:pPr>
        <w:pStyle w:val="24"/>
        <w:widowControl w:val="0"/>
        <w:spacing w:before="0" w:beforeAutospacing="0" w:after="0" w:afterAutospacing="0"/>
        <w:ind w:firstLine="560"/>
        <w:jc w:val="both"/>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D类指电力、热力、燃气及水生产和供应业，包括44～46大类，开发区目前电力主要包括小水电行业，无热力供应企业，燃气以及水的生产企业为基本生产、生活用能企业，包括以上三类。4、E类行业划分</w:t>
      </w:r>
    </w:p>
    <w:p>
      <w:pPr>
        <w:pStyle w:val="24"/>
        <w:widowControl w:val="0"/>
        <w:numPr>
          <w:ilvl w:val="0"/>
          <w:numId w:val="9"/>
        </w:numPr>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E类行业划分</w:t>
      </w:r>
    </w:p>
    <w:p>
      <w:pPr>
        <w:pStyle w:val="24"/>
        <w:widowControl w:val="0"/>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E类即指建筑业，按情况划分为以下4个行业。</w:t>
      </w:r>
    </w:p>
    <w:p>
      <w:pPr>
        <w:pStyle w:val="24"/>
        <w:widowControl w:val="0"/>
        <w:spacing w:before="0" w:beforeAutospacing="0" w:after="0" w:afterAutospacing="0"/>
        <w:ind w:firstLine="480"/>
        <w:jc w:val="center"/>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 xml:space="preserve">表 </w:t>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STYLEREF 1 \s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六</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SEQ 表 \* ARABIC \s 1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t xml:space="preserve">  E类行业分类表</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0"/>
        <w:gridCol w:w="6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类别编号</w:t>
            </w:r>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47</w:t>
            </w:r>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房屋建筑业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w:t>
            </w:r>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土木工程建筑业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49</w:t>
            </w:r>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建筑安装业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建筑装饰和其他建筑业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bookmarkStart w:id="72" w:name="_Toc502733605"/>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p>
        </w:tc>
      </w:tr>
    </w:tbl>
    <w:p>
      <w:pPr>
        <w:pStyle w:val="24"/>
        <w:widowControl w:val="0"/>
        <w:spacing w:before="0" w:beforeAutospacing="0" w:after="0" w:afterAutospacing="0"/>
        <w:ind w:firstLine="480"/>
        <w:rPr>
          <w:rFonts w:hint="default" w:ascii="Times New Roman" w:hAnsi="Times New Roman" w:eastAsia="宋体" w:cs="Times New Roman"/>
          <w:color w:val="auto"/>
          <w:highlight w:val="none"/>
        </w:rPr>
      </w:pPr>
    </w:p>
    <w:p>
      <w:pPr>
        <w:pStyle w:val="4"/>
        <w:numPr>
          <w:ilvl w:val="2"/>
          <w:numId w:val="2"/>
        </w:numPr>
        <w:ind w:left="709" w:hanging="709"/>
        <w:rPr>
          <w:rFonts w:hint="default" w:ascii="Times New Roman" w:hAnsi="Times New Roman" w:eastAsia="宋体" w:cs="Times New Roman"/>
          <w:color w:val="auto"/>
          <w:highlight w:val="none"/>
        </w:rPr>
      </w:pPr>
      <w:bookmarkStart w:id="73" w:name="_Toc8551"/>
      <w:bookmarkStart w:id="74" w:name="_Toc20008"/>
      <w:bookmarkStart w:id="75" w:name="_Toc6707"/>
      <w:bookmarkStart w:id="76" w:name="_Toc19327"/>
      <w:bookmarkStart w:id="77" w:name="_Toc66890966"/>
      <w:r>
        <w:rPr>
          <w:rFonts w:hint="default" w:ascii="Times New Roman" w:hAnsi="Times New Roman" w:eastAsia="宋体" w:cs="Times New Roman"/>
          <w:color w:val="auto"/>
          <w:highlight w:val="none"/>
        </w:rPr>
        <w:t>第三产业行业类型的划分</w:t>
      </w:r>
      <w:bookmarkEnd w:id="72"/>
      <w:bookmarkEnd w:id="73"/>
      <w:bookmarkEnd w:id="74"/>
      <w:bookmarkEnd w:id="75"/>
      <w:bookmarkEnd w:id="76"/>
      <w:bookmarkEnd w:id="77"/>
    </w:p>
    <w:p>
      <w:pPr>
        <w:pStyle w:val="24"/>
        <w:widowControl w:val="0"/>
        <w:spacing w:before="0" w:beforeAutospacing="0" w:after="0" w:afterAutospacing="0"/>
        <w:ind w:firstLine="560"/>
        <w:jc w:val="both"/>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第三产业一般指除第一产业和第二产业以外的产业系统，按</w:t>
      </w:r>
      <w:r>
        <w:rPr>
          <w:rFonts w:hint="default" w:ascii="Times New Roman" w:hAnsi="Times New Roman" w:eastAsia="宋体" w:cs="Times New Roman"/>
          <w:color w:val="auto"/>
          <w:kern w:val="2"/>
          <w:sz w:val="28"/>
          <w:szCs w:val="22"/>
          <w:highlight w:val="none"/>
        </w:rPr>
        <w:t>《国民经济行业分类》（GB/T 4754—2017）</w:t>
      </w:r>
      <w:r>
        <w:rPr>
          <w:rFonts w:hint="default" w:ascii="Times New Roman" w:hAnsi="Times New Roman" w:eastAsia="宋体" w:cs="Times New Roman"/>
          <w:color w:val="auto"/>
          <w:sz w:val="28"/>
          <w:szCs w:val="28"/>
          <w:highlight w:val="none"/>
        </w:rPr>
        <w:t>，分为F~T共计14个门类共计47个大类。</w:t>
      </w:r>
      <w:bookmarkStart w:id="78" w:name="_Toc502733607"/>
    </w:p>
    <w:bookmarkEnd w:id="78"/>
    <w:p>
      <w:pPr>
        <w:pStyle w:val="4"/>
        <w:numPr>
          <w:ilvl w:val="2"/>
          <w:numId w:val="2"/>
        </w:numPr>
        <w:ind w:left="709" w:hanging="709"/>
        <w:rPr>
          <w:rFonts w:hint="eastAsia"/>
          <w:color w:val="auto"/>
          <w:highlight w:val="none"/>
        </w:rPr>
      </w:pPr>
      <w:bookmarkStart w:id="79" w:name="_Toc12114"/>
      <w:r>
        <w:rPr>
          <w:rFonts w:hint="eastAsia"/>
          <w:color w:val="auto"/>
          <w:highlight w:val="none"/>
          <w:lang w:val="en-US" w:eastAsia="zh-CN"/>
        </w:rPr>
        <w:t>区域内规模以上企业行类型划分</w:t>
      </w:r>
      <w:bookmarkEnd w:id="79"/>
    </w:p>
    <w:p>
      <w:pPr>
        <w:ind w:firstLine="560"/>
        <w:rPr>
          <w:color w:val="auto"/>
          <w:highlight w:val="none"/>
        </w:rPr>
      </w:pPr>
      <w:r>
        <w:rPr>
          <w:rFonts w:hint="eastAsia"/>
          <w:color w:val="auto"/>
          <w:highlight w:val="none"/>
        </w:rPr>
        <w:t>根据《国民经济行业分类》（GB/T 4754-2017），20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咸宁高新区</w:t>
      </w:r>
      <w:r>
        <w:rPr>
          <w:rFonts w:hint="eastAsia"/>
          <w:color w:val="auto"/>
          <w:highlight w:val="none"/>
          <w:lang w:val="en-US" w:eastAsia="zh-CN"/>
        </w:rPr>
        <w:t>91</w:t>
      </w:r>
      <w:r>
        <w:rPr>
          <w:rFonts w:hint="eastAsia"/>
          <w:color w:val="auto"/>
          <w:highlight w:val="none"/>
        </w:rPr>
        <w:t>家规模以上企业共分为</w:t>
      </w:r>
      <w:r>
        <w:rPr>
          <w:color w:val="auto"/>
          <w:highlight w:val="none"/>
        </w:rPr>
        <w:t>23</w:t>
      </w:r>
      <w:r>
        <w:rPr>
          <w:rFonts w:hint="eastAsia"/>
          <w:color w:val="auto"/>
          <w:highlight w:val="none"/>
        </w:rPr>
        <w:t>个大类、</w:t>
      </w:r>
      <w:r>
        <w:rPr>
          <w:color w:val="auto"/>
          <w:highlight w:val="none"/>
        </w:rPr>
        <w:t>57</w:t>
      </w:r>
      <w:r>
        <w:rPr>
          <w:rFonts w:hint="eastAsia"/>
          <w:color w:val="auto"/>
          <w:highlight w:val="none"/>
        </w:rPr>
        <w:t>个中类、</w:t>
      </w:r>
      <w:r>
        <w:rPr>
          <w:color w:val="auto"/>
          <w:highlight w:val="none"/>
        </w:rPr>
        <w:t>76</w:t>
      </w:r>
      <w:r>
        <w:rPr>
          <w:rFonts w:hint="eastAsia"/>
          <w:color w:val="auto"/>
          <w:highlight w:val="none"/>
        </w:rPr>
        <w:t>个小类行业类型。企业数量最多的是非金属矿物制品业及电气机械和器材制造业，共</w:t>
      </w:r>
      <w:r>
        <w:rPr>
          <w:color w:val="auto"/>
          <w:highlight w:val="none"/>
        </w:rPr>
        <w:t>23</w:t>
      </w:r>
      <w:r>
        <w:rPr>
          <w:rFonts w:hint="eastAsia"/>
          <w:color w:val="auto"/>
          <w:highlight w:val="none"/>
        </w:rPr>
        <w:t>家，占规上企业比例</w:t>
      </w:r>
      <w:r>
        <w:rPr>
          <w:color w:val="auto"/>
          <w:highlight w:val="none"/>
        </w:rPr>
        <w:t>22.77</w:t>
      </w:r>
      <w:r>
        <w:rPr>
          <w:rFonts w:hint="eastAsia"/>
          <w:color w:val="auto"/>
          <w:highlight w:val="none"/>
        </w:rPr>
        <w:t>%。高新区内涉及传统六大高能耗行业</w:t>
      </w:r>
      <w:r>
        <w:rPr>
          <w:color w:val="auto"/>
          <w:highlight w:val="none"/>
        </w:rPr>
        <w:t>的</w:t>
      </w:r>
      <w:r>
        <w:rPr>
          <w:rFonts w:hint="eastAsia"/>
          <w:color w:val="auto"/>
          <w:highlight w:val="none"/>
        </w:rPr>
        <w:t>企业有</w:t>
      </w:r>
      <w:r>
        <w:rPr>
          <w:color w:val="auto"/>
          <w:highlight w:val="none"/>
        </w:rPr>
        <w:t>17</w:t>
      </w:r>
      <w:r>
        <w:rPr>
          <w:rFonts w:hint="eastAsia"/>
          <w:color w:val="auto"/>
          <w:highlight w:val="none"/>
        </w:rPr>
        <w:t>家（非金属矿物制品业</w:t>
      </w:r>
      <w:r>
        <w:rPr>
          <w:color w:val="auto"/>
          <w:highlight w:val="none"/>
        </w:rPr>
        <w:t>11</w:t>
      </w:r>
      <w:r>
        <w:rPr>
          <w:rFonts w:hint="eastAsia"/>
          <w:color w:val="auto"/>
          <w:highlight w:val="none"/>
        </w:rPr>
        <w:t>家</w:t>
      </w:r>
      <w:r>
        <w:rPr>
          <w:color w:val="auto"/>
          <w:highlight w:val="none"/>
        </w:rPr>
        <w:t>、</w:t>
      </w:r>
      <w:r>
        <w:rPr>
          <w:rFonts w:hint="eastAsia"/>
          <w:color w:val="auto"/>
          <w:highlight w:val="none"/>
        </w:rPr>
        <w:t>化学原料和化学制品制造业</w:t>
      </w:r>
      <w:r>
        <w:rPr>
          <w:color w:val="auto"/>
          <w:highlight w:val="none"/>
        </w:rPr>
        <w:t>6</w:t>
      </w:r>
      <w:r>
        <w:rPr>
          <w:rFonts w:hint="eastAsia"/>
          <w:color w:val="auto"/>
          <w:highlight w:val="none"/>
        </w:rPr>
        <w:t>家），占规上企业比例</w:t>
      </w:r>
      <w:r>
        <w:rPr>
          <w:color w:val="auto"/>
          <w:highlight w:val="none"/>
        </w:rPr>
        <w:t>16.83</w:t>
      </w:r>
      <w:r>
        <w:rPr>
          <w:rFonts w:hint="eastAsia"/>
          <w:color w:val="auto"/>
          <w:highlight w:val="none"/>
        </w:rPr>
        <w:t>%。</w:t>
      </w:r>
    </w:p>
    <w:p>
      <w:pPr>
        <w:ind w:firstLine="560"/>
        <w:rPr>
          <w:rFonts w:hint="eastAsia"/>
          <w:color w:val="auto"/>
          <w:highlight w:val="none"/>
        </w:rPr>
      </w:pPr>
      <w:r>
        <w:rPr>
          <w:rFonts w:hint="eastAsia"/>
          <w:color w:val="auto"/>
          <w:highlight w:val="none"/>
        </w:rPr>
        <w:t>咸宁高新区行业类型的划分和企业数量占比见下表。</w:t>
      </w:r>
    </w:p>
    <w:p>
      <w:pPr>
        <w:pStyle w:val="27"/>
        <w:rPr>
          <w:rFonts w:hint="default" w:eastAsia="宋体"/>
          <w:color w:val="auto"/>
          <w:highlight w:val="none"/>
          <w:lang w:val="en-US" w:eastAsia="zh-CN"/>
        </w:rPr>
      </w:pPr>
      <w:r>
        <w:rPr>
          <w:rFonts w:hint="eastAsia"/>
          <w:color w:val="auto"/>
          <w:highlight w:val="none"/>
          <w:lang w:val="en-US" w:eastAsia="zh-CN"/>
        </w:rPr>
        <w:t>区域内无规模以上第一产业及第二产业中</w:t>
      </w:r>
      <w:r>
        <w:rPr>
          <w:rFonts w:hint="default" w:ascii="Times New Roman" w:hAnsi="Times New Roman" w:eastAsia="宋体" w:cs="Times New Roman"/>
          <w:color w:val="auto"/>
          <w:sz w:val="28"/>
          <w:szCs w:val="28"/>
          <w:highlight w:val="none"/>
        </w:rPr>
        <w:t>建筑业</w:t>
      </w:r>
      <w:r>
        <w:rPr>
          <w:rFonts w:hint="eastAsia" w:ascii="Times New Roman" w:hAnsi="Times New Roman" w:eastAsia="宋体" w:cs="Times New Roman"/>
          <w:color w:val="auto"/>
          <w:sz w:val="28"/>
          <w:szCs w:val="28"/>
          <w:highlight w:val="none"/>
          <w:lang w:val="en-US" w:eastAsia="zh-CN"/>
        </w:rPr>
        <w:t>相关企业。</w:t>
      </w:r>
    </w:p>
    <w:p>
      <w:pPr>
        <w:ind w:firstLine="560"/>
        <w:rPr>
          <w:color w:val="auto"/>
          <w:highlight w:val="none"/>
        </w:rPr>
      </w:pPr>
    </w:p>
    <w:p>
      <w:pPr>
        <w:ind w:firstLine="560"/>
        <w:rPr>
          <w:color w:val="auto"/>
          <w:highlight w:val="none"/>
        </w:rPr>
        <w:sectPr>
          <w:pgSz w:w="11906" w:h="16838"/>
          <w:pgMar w:top="1440" w:right="1800" w:bottom="1440" w:left="1800" w:header="850" w:footer="992" w:gutter="0"/>
          <w:cols w:space="425" w:num="1"/>
          <w:docGrid w:type="lines" w:linePitch="381" w:charSpace="0"/>
        </w:sectPr>
      </w:pPr>
    </w:p>
    <w:p>
      <w:pPr>
        <w:pStyle w:val="9"/>
        <w:keepNext/>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咸宁高新区行业类型的划分和企业数量占比</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20"/>
        <w:gridCol w:w="4856"/>
        <w:gridCol w:w="1172"/>
        <w:gridCol w:w="4093"/>
        <w:gridCol w:w="1371"/>
        <w:gridCol w:w="1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行业大类</w:t>
            </w:r>
          </w:p>
        </w:tc>
        <w:tc>
          <w:tcPr>
            <w:tcW w:w="1666"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行业名称</w:t>
            </w:r>
          </w:p>
        </w:tc>
        <w:tc>
          <w:tcPr>
            <w:tcW w:w="475"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小类代码</w:t>
            </w:r>
          </w:p>
        </w:tc>
        <w:tc>
          <w:tcPr>
            <w:tcW w:w="1517"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小类行业名称</w:t>
            </w:r>
          </w:p>
        </w:tc>
        <w:tc>
          <w:tcPr>
            <w:tcW w:w="546"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企业数量</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（个）</w:t>
            </w:r>
          </w:p>
        </w:tc>
        <w:tc>
          <w:tcPr>
            <w:tcW w:w="476"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企业数量占比</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B10</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非金属矿采选业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B1011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石灰石、石膏开采</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C13</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农副食品加工业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C1331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食用植物油加工</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食品制造业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4</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糕点、面包制造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C1491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营养食品制造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C1495</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食品及饲料添加剂制造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C1499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其他未列明食品制造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酒、饮料和精制茶制造业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5</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C1512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白酒制造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C1521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碳酸饮料制造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C1522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瓶（罐）装饮用水制造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C1529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茶饮料及其他饮料制造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纺织业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5</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棉纺纱加工</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C1713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棉印染精加工</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C1731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麻纤维纺前加工和纺纱</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C1772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毛巾类制品制造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C1789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其他产业用纺织制成品制造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C18</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纺织服装、服饰业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C1819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其他机织服装制造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C20</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木材加工和木、竹、藤、棕、草制品业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4</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C2032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木门窗制造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C2033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木楼梯制造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C2034</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木地板制造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C2041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竹制品制造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C21</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家具制造业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C2110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木质家具制造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C2130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金属家具制造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C22</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造纸和纸制品业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C2221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木竹浆制造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C23</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印刷和记录媒介复制业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C2311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书、报刊印刷</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C2319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其他文教办公用品制造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化学原料和化学制品制造业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6</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C2614</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有机化学原料制造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C2632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生物化学农药及微生物农药制造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C2641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涂料制造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C2651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初级形态塑料及合成树脂制造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C2659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其他合成材料制造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医药制造业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7</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C2730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中药饮片加工</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C2740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中成药生产</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C2750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兽用药品制造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C2761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生物药品制造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C2770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卫生材料及医药用品制造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C29</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橡胶和塑料制品业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C2927</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日用塑料制品制造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非金属矿物制品业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C3021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水泥制品制造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C3031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粘土砖瓦及建筑砌块制造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C3034</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隔热和隔音材料制造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C3039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其他建筑材料制造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C3041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平板玻璃制造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C3049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其他玻璃制造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C3052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光学玻璃制造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金属制品业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8</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金属结构制造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C3333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金属包装容器及材料制造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C3359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其他建筑、安全用金属制品制造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C3381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金属制厨房用器具制造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C3393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锻件及粉末冶金制品制造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C34</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通用设备制造业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4</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C3423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铸造机械制造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C3429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其他金属加工机械制造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C3444</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液压动力机械及元件制造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C3499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其他未列明通用设备制造业</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专用设备制造业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7</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C3513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深海石油钻探设备制造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C3532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农副食品加工专用设备制造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C3589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其他医疗设备及器械制造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C3591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环境保护专用设备制造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C3599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其他专用设备制造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C36</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汽车制造业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4</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C3660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汽车车身、挂车制造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C3670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汽车零部件及配件制造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C37</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铁路、船舶、航空航天和其他运输设备制造业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C3713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窄轨机车车辆制造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电气机械和器材制造业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发电机及发电机组制造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C3819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其他电机制造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C3821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变压器、整流器和电感器制造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C3825</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光伏设备及元器件制造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C3831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电线、电缆制造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C3833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光缆制造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C3843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铅蓄电池制造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计算机、通信和其他电子设备制造业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8</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C3961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可穿戴智能设备制造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C3969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其他智能消费设备制造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C3976</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光电子器件制造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C3981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电阻电容电感元件制造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C3982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电子电路制造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C3990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其他电子设备制造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C40</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仪器仪表制造业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C4025</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地质勘探和地震专用仪器制造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D46</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水的生产和供应业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D4610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自来水生产和供应</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D4690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其他水的处理、利用与分配</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bl>
    <w:p>
      <w:pPr>
        <w:spacing w:line="240" w:lineRule="auto"/>
        <w:ind w:firstLine="0" w:firstLineChars="0"/>
        <w:rPr>
          <w:color w:val="auto"/>
          <w:sz w:val="22"/>
          <w:highlight w:val="none"/>
        </w:rPr>
      </w:pPr>
    </w:p>
    <w:p>
      <w:pPr>
        <w:spacing w:line="240" w:lineRule="auto"/>
        <w:ind w:firstLine="0" w:firstLineChars="0"/>
        <w:rPr>
          <w:color w:val="auto"/>
          <w:sz w:val="22"/>
          <w:highlight w:val="none"/>
        </w:rPr>
        <w:sectPr>
          <w:pgSz w:w="16838" w:h="11906" w:orient="landscape"/>
          <w:pgMar w:top="1800" w:right="1440" w:bottom="1800" w:left="1440" w:header="850" w:footer="992" w:gutter="0"/>
          <w:cols w:space="425" w:num="1"/>
          <w:docGrid w:type="lines" w:linePitch="381" w:charSpace="0"/>
        </w:sectPr>
      </w:pPr>
    </w:p>
    <w:p>
      <w:pPr>
        <w:pStyle w:val="3"/>
        <w:numPr>
          <w:ilvl w:val="1"/>
          <w:numId w:val="2"/>
        </w:numPr>
        <w:ind w:left="567" w:hanging="567"/>
        <w:rPr>
          <w:color w:val="auto"/>
          <w:highlight w:val="none"/>
        </w:rPr>
      </w:pPr>
      <w:bookmarkStart w:id="80" w:name="_Toc4126"/>
      <w:r>
        <w:rPr>
          <w:rFonts w:hint="default"/>
          <w:color w:val="auto"/>
          <w:highlight w:val="none"/>
        </w:rPr>
        <w:t>区</w:t>
      </w:r>
      <w:r>
        <w:rPr>
          <w:rFonts w:hint="eastAsia"/>
          <w:color w:val="auto"/>
          <w:highlight w:val="none"/>
        </w:rPr>
        <w:t>域内高耗能行业现状</w:t>
      </w:r>
      <w:bookmarkEnd w:id="80"/>
    </w:p>
    <w:p>
      <w:pPr>
        <w:spacing w:after="190" w:afterLines="50"/>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咸宁</w:t>
      </w:r>
      <w:r>
        <w:rPr>
          <w:color w:val="auto"/>
          <w:highlight w:val="none"/>
        </w:rPr>
        <w:t>高新区</w:t>
      </w:r>
      <w:r>
        <w:rPr>
          <w:rFonts w:hint="eastAsia"/>
          <w:color w:val="auto"/>
          <w:highlight w:val="none"/>
        </w:rPr>
        <w:t>按</w:t>
      </w:r>
      <w:r>
        <w:rPr>
          <w:color w:val="auto"/>
          <w:highlight w:val="none"/>
        </w:rPr>
        <w:t>行业</w:t>
      </w:r>
      <w:r>
        <w:rPr>
          <w:rFonts w:hint="eastAsia"/>
          <w:color w:val="auto"/>
          <w:highlight w:val="none"/>
        </w:rPr>
        <w:t>分类</w:t>
      </w:r>
      <w:r>
        <w:rPr>
          <w:color w:val="auto"/>
          <w:highlight w:val="none"/>
        </w:rPr>
        <w:t>，</w:t>
      </w:r>
      <w:r>
        <w:rPr>
          <w:rFonts w:hint="eastAsia"/>
          <w:color w:val="auto"/>
          <w:highlight w:val="none"/>
        </w:rPr>
        <w:t>能源消费量</w:t>
      </w:r>
      <w:r>
        <w:rPr>
          <w:color w:val="auto"/>
          <w:highlight w:val="none"/>
        </w:rPr>
        <w:t>按当量值计算，排名</w:t>
      </w:r>
      <w:r>
        <w:rPr>
          <w:rFonts w:hint="eastAsia"/>
          <w:color w:val="auto"/>
          <w:highlight w:val="none"/>
        </w:rPr>
        <w:t>前六</w:t>
      </w:r>
      <w:r>
        <w:rPr>
          <w:color w:val="auto"/>
          <w:highlight w:val="none"/>
        </w:rPr>
        <w:t>的产业为</w:t>
      </w:r>
      <w:r>
        <w:rPr>
          <w:rFonts w:hint="eastAsia"/>
          <w:color w:val="auto"/>
          <w:highlight w:val="none"/>
        </w:rPr>
        <w:t>：非金属矿物制品业（C</w:t>
      </w:r>
      <w:r>
        <w:rPr>
          <w:color w:val="auto"/>
          <w:highlight w:val="none"/>
        </w:rPr>
        <w:t>30</w:t>
      </w:r>
      <w:r>
        <w:rPr>
          <w:rFonts w:hint="eastAsia"/>
          <w:color w:val="auto"/>
          <w:highlight w:val="none"/>
        </w:rPr>
        <w:t>）、酒、饮料和精制茶制造业（C</w:t>
      </w:r>
      <w:r>
        <w:rPr>
          <w:color w:val="auto"/>
          <w:highlight w:val="none"/>
        </w:rPr>
        <w:t>15</w:t>
      </w:r>
      <w:r>
        <w:rPr>
          <w:rFonts w:hint="eastAsia"/>
          <w:color w:val="auto"/>
          <w:highlight w:val="none"/>
        </w:rPr>
        <w:t>）、纺织业（C</w:t>
      </w:r>
      <w:r>
        <w:rPr>
          <w:color w:val="auto"/>
          <w:highlight w:val="none"/>
        </w:rPr>
        <w:t>17</w:t>
      </w:r>
      <w:r>
        <w:rPr>
          <w:rFonts w:hint="eastAsia"/>
          <w:color w:val="auto"/>
          <w:highlight w:val="none"/>
        </w:rPr>
        <w:t>）、金属制品业（C</w:t>
      </w:r>
      <w:r>
        <w:rPr>
          <w:color w:val="auto"/>
          <w:highlight w:val="none"/>
        </w:rPr>
        <w:t>33</w:t>
      </w:r>
      <w:r>
        <w:rPr>
          <w:rFonts w:hint="eastAsia"/>
          <w:color w:val="auto"/>
          <w:highlight w:val="none"/>
        </w:rPr>
        <w:t>）、医药制造业（C</w:t>
      </w:r>
      <w:r>
        <w:rPr>
          <w:color w:val="auto"/>
          <w:highlight w:val="none"/>
        </w:rPr>
        <w:t>27</w:t>
      </w:r>
      <w:r>
        <w:rPr>
          <w:rFonts w:hint="eastAsia"/>
          <w:color w:val="auto"/>
          <w:highlight w:val="none"/>
        </w:rPr>
        <w:t>）、造纸和纸制品业（C</w:t>
      </w:r>
      <w:r>
        <w:rPr>
          <w:color w:val="auto"/>
          <w:highlight w:val="none"/>
        </w:rPr>
        <w:t>22</w:t>
      </w:r>
      <w:r>
        <w:rPr>
          <w:rFonts w:hint="eastAsia"/>
          <w:color w:val="auto"/>
          <w:highlight w:val="none"/>
        </w:rPr>
        <w:t>）。</w:t>
      </w:r>
      <w:r>
        <w:rPr>
          <w:color w:val="auto"/>
          <w:highlight w:val="none"/>
        </w:rPr>
        <w:t>其</w:t>
      </w:r>
      <w:r>
        <w:rPr>
          <w:rFonts w:hint="eastAsia"/>
          <w:color w:val="auto"/>
          <w:highlight w:val="none"/>
        </w:rPr>
        <w:t>行业</w:t>
      </w:r>
      <w:r>
        <w:rPr>
          <w:color w:val="auto"/>
          <w:highlight w:val="none"/>
        </w:rPr>
        <w:t>能耗占比情况如下图所示：</w:t>
      </w:r>
    </w:p>
    <w:p>
      <w:pPr>
        <w:keepNext/>
        <w:ind w:firstLine="0" w:firstLineChars="0"/>
        <w:rPr>
          <w:color w:val="auto"/>
          <w:highlight w:val="none"/>
        </w:rPr>
      </w:pPr>
      <w:r>
        <w:rPr>
          <w:color w:val="auto"/>
          <w:highlight w:val="none"/>
        </w:rPr>
        <w:drawing>
          <wp:inline distT="0" distB="0" distL="0" distR="0">
            <wp:extent cx="4933950" cy="279590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9">
                      <a:extLst>
                        <a:ext uri="{28A0092B-C50C-407E-A947-70E740481C1C}">
                          <a14:useLocalDpi xmlns:a14="http://schemas.microsoft.com/office/drawing/2010/main" val="0"/>
                        </a:ext>
                      </a:extLst>
                    </a:blip>
                    <a:srcRect l="1466" t="2235" r="3639" b="8287"/>
                    <a:stretch>
                      <a:fillRect/>
                    </a:stretch>
                  </pic:blipFill>
                  <pic:spPr>
                    <a:xfrm>
                      <a:off x="0" y="0"/>
                      <a:ext cx="4945763" cy="2803223"/>
                    </a:xfrm>
                    <a:prstGeom prst="rect">
                      <a:avLst/>
                    </a:prstGeom>
                    <a:noFill/>
                    <a:ln>
                      <a:noFill/>
                    </a:ln>
                  </pic:spPr>
                </pic:pic>
              </a:graphicData>
            </a:graphic>
          </wp:inline>
        </w:drawing>
      </w:r>
    </w:p>
    <w:p>
      <w:pPr>
        <w:pStyle w:val="9"/>
        <w:rPr>
          <w:color w:val="auto"/>
          <w:highlight w:val="none"/>
        </w:rPr>
      </w:pPr>
      <w:r>
        <w:rPr>
          <w:rFonts w:hint="eastAsia"/>
          <w:color w:val="auto"/>
          <w:highlight w:val="none"/>
        </w:rPr>
        <w:t xml:space="preserve">图6-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图6-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咸宁高新区能源</w:t>
      </w:r>
      <w:r>
        <w:rPr>
          <w:color w:val="auto"/>
          <w:highlight w:val="none"/>
        </w:rPr>
        <w:t>消费</w:t>
      </w:r>
      <w:r>
        <w:rPr>
          <w:rFonts w:hint="eastAsia"/>
          <w:color w:val="auto"/>
          <w:highlight w:val="none"/>
        </w:rPr>
        <w:t>行业占比</w:t>
      </w:r>
      <w:r>
        <w:rPr>
          <w:color w:val="auto"/>
          <w:highlight w:val="none"/>
        </w:rPr>
        <w:t>情况</w:t>
      </w:r>
    </w:p>
    <w:p>
      <w:pPr>
        <w:pStyle w:val="4"/>
        <w:numPr>
          <w:ilvl w:val="2"/>
          <w:numId w:val="2"/>
        </w:numPr>
        <w:ind w:left="709" w:hanging="709"/>
        <w:rPr>
          <w:color w:val="auto"/>
          <w:highlight w:val="none"/>
        </w:rPr>
      </w:pPr>
      <w:bookmarkStart w:id="81" w:name="_Toc20930"/>
      <w:r>
        <w:rPr>
          <w:rFonts w:hint="eastAsia"/>
          <w:color w:val="auto"/>
          <w:highlight w:val="none"/>
        </w:rPr>
        <w:t>非金属矿物制品业</w:t>
      </w:r>
      <w:bookmarkEnd w:id="81"/>
    </w:p>
    <w:p>
      <w:pPr>
        <w:ind w:firstLine="560"/>
        <w:rPr>
          <w:color w:val="auto"/>
          <w:highlight w:val="none"/>
        </w:rPr>
      </w:pPr>
      <w:r>
        <w:rPr>
          <w:rFonts w:hint="eastAsia"/>
          <w:color w:val="auto"/>
          <w:highlight w:val="none"/>
        </w:rPr>
        <w:t>非金属矿物制品业是咸宁高新区第一用能行业，区内现有11家非金属矿物制品业规上企业，主要集中在建筑材料及玻璃制造业，其中咸宁南玻光电玻璃有限公司、咸宁南玻玻璃有限公司、咸宁南玻节能玻璃有限公司是主要耗能大户，</w:t>
      </w:r>
      <w:r>
        <w:rPr>
          <w:color w:val="auto"/>
          <w:highlight w:val="none"/>
        </w:rPr>
        <w:t>其</w:t>
      </w:r>
      <w:r>
        <w:rPr>
          <w:rFonts w:hint="eastAsia"/>
          <w:color w:val="auto"/>
          <w:highlight w:val="none"/>
        </w:rPr>
        <w:t>能效</w:t>
      </w:r>
      <w:r>
        <w:rPr>
          <w:color w:val="auto"/>
          <w:highlight w:val="none"/>
        </w:rPr>
        <w:t>整体达到国内先进水平</w:t>
      </w:r>
      <w:r>
        <w:rPr>
          <w:rFonts w:hint="eastAsia"/>
          <w:color w:val="auto"/>
          <w:highlight w:val="none"/>
        </w:rPr>
        <w:t>。2</w:t>
      </w:r>
      <w:r>
        <w:rPr>
          <w:color w:val="auto"/>
          <w:highlight w:val="none"/>
        </w:rPr>
        <w:t>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区内</w:t>
      </w:r>
      <w:r>
        <w:rPr>
          <w:color w:val="auto"/>
          <w:highlight w:val="none"/>
        </w:rPr>
        <w:t>三家</w:t>
      </w:r>
      <w:r>
        <w:rPr>
          <w:rFonts w:hint="eastAsia"/>
          <w:color w:val="auto"/>
          <w:highlight w:val="none"/>
        </w:rPr>
        <w:t>玻璃产品生产</w:t>
      </w:r>
      <w:r>
        <w:rPr>
          <w:color w:val="auto"/>
          <w:highlight w:val="none"/>
        </w:rPr>
        <w:t>企业</w:t>
      </w:r>
      <w:r>
        <w:rPr>
          <w:rFonts w:hint="eastAsia"/>
          <w:color w:val="auto"/>
          <w:highlight w:val="none"/>
        </w:rPr>
        <w:t>能耗</w:t>
      </w:r>
      <w:r>
        <w:rPr>
          <w:color w:val="auto"/>
          <w:highlight w:val="none"/>
        </w:rPr>
        <w:t>占高新区</w:t>
      </w:r>
      <w:r>
        <w:rPr>
          <w:rFonts w:hint="eastAsia"/>
          <w:color w:val="auto"/>
          <w:highlight w:val="none"/>
        </w:rPr>
        <w:t>非金属矿物制品业整体</w:t>
      </w:r>
      <w:r>
        <w:rPr>
          <w:color w:val="auto"/>
          <w:highlight w:val="none"/>
        </w:rPr>
        <w:t>能耗的</w:t>
      </w:r>
      <w:r>
        <w:rPr>
          <w:rFonts w:hint="eastAsia"/>
          <w:color w:val="auto"/>
          <w:highlight w:val="none"/>
        </w:rPr>
        <w:t>99</w:t>
      </w:r>
      <w:r>
        <w:rPr>
          <w:color w:val="auto"/>
          <w:highlight w:val="none"/>
        </w:rPr>
        <w:t>%以上，</w:t>
      </w:r>
      <w:r>
        <w:rPr>
          <w:rFonts w:hint="eastAsia"/>
          <w:color w:val="auto"/>
          <w:highlight w:val="none"/>
        </w:rPr>
        <w:t>产值</w:t>
      </w:r>
      <w:r>
        <w:rPr>
          <w:color w:val="auto"/>
          <w:highlight w:val="none"/>
        </w:rPr>
        <w:t>占比</w:t>
      </w:r>
      <w:r>
        <w:rPr>
          <w:rFonts w:hint="eastAsia"/>
          <w:color w:val="auto"/>
          <w:highlight w:val="none"/>
        </w:rPr>
        <w:t>70</w:t>
      </w:r>
      <w:r>
        <w:rPr>
          <w:color w:val="auto"/>
          <w:highlight w:val="none"/>
        </w:rPr>
        <w:t>%以上。</w:t>
      </w:r>
      <w:r>
        <w:rPr>
          <w:rFonts w:hint="eastAsia"/>
          <w:color w:val="auto"/>
          <w:highlight w:val="none"/>
        </w:rPr>
        <w:t>行业其他</w:t>
      </w:r>
      <w:r>
        <w:rPr>
          <w:color w:val="auto"/>
          <w:highlight w:val="none"/>
        </w:rPr>
        <w:t>企业主要从事</w:t>
      </w:r>
      <w:r>
        <w:rPr>
          <w:rFonts w:hint="eastAsia"/>
          <w:color w:val="auto"/>
          <w:highlight w:val="none"/>
        </w:rPr>
        <w:t>商品砼、加气</w:t>
      </w:r>
      <w:r>
        <w:rPr>
          <w:color w:val="auto"/>
          <w:highlight w:val="none"/>
        </w:rPr>
        <w:t>块</w:t>
      </w:r>
      <w:r>
        <w:rPr>
          <w:rFonts w:hint="eastAsia"/>
          <w:color w:val="auto"/>
          <w:highlight w:val="none"/>
        </w:rPr>
        <w:t>、保温</w:t>
      </w:r>
      <w:r>
        <w:rPr>
          <w:color w:val="auto"/>
          <w:highlight w:val="none"/>
        </w:rPr>
        <w:t>材料</w:t>
      </w:r>
      <w:r>
        <w:rPr>
          <w:rFonts w:hint="eastAsia"/>
          <w:color w:val="auto"/>
          <w:highlight w:val="none"/>
        </w:rPr>
        <w:t>、建筑</w:t>
      </w:r>
      <w:r>
        <w:rPr>
          <w:color w:val="auto"/>
          <w:highlight w:val="none"/>
        </w:rPr>
        <w:t>模板的生产与销售，其</w:t>
      </w:r>
      <w:r>
        <w:rPr>
          <w:rFonts w:hint="eastAsia"/>
          <w:color w:val="auto"/>
          <w:highlight w:val="none"/>
        </w:rPr>
        <w:t>耗能</w:t>
      </w:r>
      <w:r>
        <w:rPr>
          <w:color w:val="auto"/>
          <w:highlight w:val="none"/>
        </w:rPr>
        <w:t>占比</w:t>
      </w:r>
      <w:r>
        <w:rPr>
          <w:rFonts w:hint="eastAsia"/>
          <w:color w:val="auto"/>
          <w:highlight w:val="none"/>
        </w:rPr>
        <w:t>相对</w:t>
      </w:r>
      <w:r>
        <w:rPr>
          <w:color w:val="auto"/>
          <w:highlight w:val="none"/>
        </w:rPr>
        <w:t>较小</w:t>
      </w:r>
      <w:r>
        <w:rPr>
          <w:rFonts w:hint="eastAsia"/>
          <w:color w:val="auto"/>
          <w:highlight w:val="none"/>
        </w:rPr>
        <w:t>，</w:t>
      </w:r>
      <w:r>
        <w:rPr>
          <w:color w:val="auto"/>
          <w:highlight w:val="none"/>
        </w:rPr>
        <w:t>产品</w:t>
      </w:r>
      <w:r>
        <w:rPr>
          <w:rFonts w:hint="eastAsia"/>
          <w:color w:val="auto"/>
          <w:highlight w:val="none"/>
        </w:rPr>
        <w:t>单耗满足</w:t>
      </w:r>
      <w:r>
        <w:rPr>
          <w:color w:val="auto"/>
          <w:highlight w:val="none"/>
        </w:rPr>
        <w:t>国家</w:t>
      </w:r>
      <w:r>
        <w:rPr>
          <w:rFonts w:hint="eastAsia"/>
          <w:color w:val="auto"/>
          <w:highlight w:val="none"/>
        </w:rPr>
        <w:t>相关</w:t>
      </w:r>
      <w:r>
        <w:rPr>
          <w:color w:val="auto"/>
          <w:highlight w:val="none"/>
        </w:rPr>
        <w:t>标准要求</w:t>
      </w:r>
      <w:r>
        <w:rPr>
          <w:rFonts w:hint="eastAsia"/>
          <w:color w:val="auto"/>
          <w:highlight w:val="none"/>
        </w:rPr>
        <w:t>，其中EPS板、建筑铝模等</w:t>
      </w:r>
      <w:r>
        <w:rPr>
          <w:color w:val="auto"/>
          <w:highlight w:val="none"/>
        </w:rPr>
        <w:t>产品属于国家鼓励</w:t>
      </w:r>
      <w:r>
        <w:rPr>
          <w:rFonts w:hint="eastAsia"/>
          <w:color w:val="auto"/>
          <w:highlight w:val="none"/>
        </w:rPr>
        <w:t>推广</w:t>
      </w:r>
      <w:r>
        <w:rPr>
          <w:color w:val="auto"/>
          <w:highlight w:val="none"/>
        </w:rPr>
        <w:t>的节能环保产品</w:t>
      </w:r>
      <w:r>
        <w:rPr>
          <w:rFonts w:hint="eastAsia"/>
          <w:color w:val="auto"/>
          <w:highlight w:val="none"/>
        </w:rPr>
        <w:t>。</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2</w:t>
      </w:r>
      <w:r>
        <w:rPr>
          <w:color w:val="auto"/>
          <w:highlight w:val="none"/>
        </w:rPr>
        <w:fldChar w:fldCharType="end"/>
      </w:r>
      <w:r>
        <w:rPr>
          <w:color w:val="auto"/>
          <w:highlight w:val="none"/>
        </w:rPr>
        <w:t xml:space="preserve"> 2019</w:t>
      </w:r>
      <w:r>
        <w:rPr>
          <w:rFonts w:hint="eastAsia"/>
          <w:color w:val="auto"/>
          <w:highlight w:val="none"/>
        </w:rPr>
        <w:t>年高新区非金属矿物制品业规上企业能耗情况（当量值）</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107"/>
        <w:gridCol w:w="1420"/>
        <w:gridCol w:w="1418"/>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企业名称</w:t>
            </w:r>
          </w:p>
        </w:tc>
        <w:tc>
          <w:tcPr>
            <w:tcW w:w="849"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（tce）</w:t>
            </w:r>
          </w:p>
        </w:tc>
        <w:tc>
          <w:tcPr>
            <w:tcW w:w="848"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（万元）</w:t>
            </w:r>
          </w:p>
        </w:tc>
        <w:tc>
          <w:tcPr>
            <w:tcW w:w="847" w:type="pct"/>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咸宁恒兴砼业有限公司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130.13</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3915.9</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湖北新港建设发展有限公司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486.25</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6518</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0.0746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咸宁方远建材科技有限公司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575.07</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9638.71</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0.0597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咸宁欣畅管业有限公司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62.55</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3888</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咸宁市华桥新型建材有限公司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124.02</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8737.9</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湖北天泉投资有限公司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湖北贵泉新型节能建筑材料有限公司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14.75</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5475</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湖北志特新材料科技有限公司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103.24</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22983</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咸宁南玻玻璃有限公司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127903.8</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74334.5</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1.7207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咸宁南玻节能玻璃有限公司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5551.79</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48703.63</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咸宁南玻光电玻璃有限公司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23117.98</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21618.3</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1.0694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小计</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158069.54</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205812.94</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0.7680</w:t>
            </w:r>
          </w:p>
        </w:tc>
      </w:tr>
    </w:tbl>
    <w:p>
      <w:pPr>
        <w:spacing w:line="240" w:lineRule="auto"/>
        <w:ind w:firstLine="0" w:firstLineChars="0"/>
        <w:rPr>
          <w:color w:val="auto"/>
          <w:sz w:val="21"/>
          <w:highlight w:val="none"/>
        </w:rPr>
      </w:pPr>
    </w:p>
    <w:p>
      <w:pPr>
        <w:pStyle w:val="4"/>
        <w:numPr>
          <w:ilvl w:val="2"/>
          <w:numId w:val="2"/>
        </w:numPr>
        <w:ind w:left="709" w:hanging="709"/>
        <w:rPr>
          <w:color w:val="auto"/>
          <w:highlight w:val="none"/>
        </w:rPr>
      </w:pPr>
      <w:bookmarkStart w:id="82" w:name="_Toc5548"/>
      <w:r>
        <w:rPr>
          <w:rFonts w:hint="eastAsia"/>
          <w:color w:val="auto"/>
          <w:highlight w:val="none"/>
        </w:rPr>
        <w:t>酒、饮料和精制茶制造业</w:t>
      </w:r>
      <w:bookmarkEnd w:id="82"/>
    </w:p>
    <w:p>
      <w:pPr>
        <w:ind w:firstLine="560"/>
        <w:rPr>
          <w:color w:val="auto"/>
          <w:highlight w:val="none"/>
        </w:rPr>
      </w:pPr>
      <w:r>
        <w:rPr>
          <w:rFonts w:hint="eastAsia"/>
          <w:color w:val="auto"/>
          <w:highlight w:val="none"/>
        </w:rPr>
        <w:t>酒、饮料和精制茶制造业是咸宁高新区第二耗能行业，区内现有</w:t>
      </w:r>
      <w:r>
        <w:rPr>
          <w:color w:val="auto"/>
          <w:highlight w:val="none"/>
        </w:rPr>
        <w:t>5</w:t>
      </w:r>
      <w:r>
        <w:rPr>
          <w:rFonts w:hint="eastAsia"/>
          <w:color w:val="auto"/>
          <w:highlight w:val="none"/>
        </w:rPr>
        <w:t>家酒、饮料和精制茶制造业规上企业，主要为饮料生产企业，其中红牛维他命饮料（湖北）有限公司、湖北奥瑞金饮料工业有限公司、今麦郎饮品（咸宁）有限公司是主要耗能大户。</w:t>
      </w:r>
      <w:r>
        <w:rPr>
          <w:color w:val="auto"/>
          <w:highlight w:val="none"/>
        </w:rPr>
        <w:t>其能耗整体达到国内先进水平</w:t>
      </w:r>
      <w:r>
        <w:rPr>
          <w:rFonts w:hint="eastAsia"/>
          <w:color w:val="auto"/>
          <w:highlight w:val="none"/>
        </w:rPr>
        <w:t>。2</w:t>
      </w:r>
      <w:r>
        <w:rPr>
          <w:color w:val="auto"/>
          <w:highlight w:val="none"/>
        </w:rPr>
        <w:t>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区内</w:t>
      </w:r>
      <w:r>
        <w:rPr>
          <w:color w:val="auto"/>
          <w:highlight w:val="none"/>
        </w:rPr>
        <w:t>三家</w:t>
      </w:r>
      <w:r>
        <w:rPr>
          <w:rFonts w:hint="eastAsia"/>
          <w:color w:val="auto"/>
          <w:highlight w:val="none"/>
        </w:rPr>
        <w:t>饮料生产</w:t>
      </w:r>
      <w:r>
        <w:rPr>
          <w:color w:val="auto"/>
          <w:highlight w:val="none"/>
        </w:rPr>
        <w:t>企业</w:t>
      </w:r>
      <w:r>
        <w:rPr>
          <w:rFonts w:hint="eastAsia"/>
          <w:color w:val="auto"/>
          <w:highlight w:val="none"/>
        </w:rPr>
        <w:t>能耗</w:t>
      </w:r>
      <w:r>
        <w:rPr>
          <w:color w:val="auto"/>
          <w:highlight w:val="none"/>
        </w:rPr>
        <w:t>占高新区</w:t>
      </w:r>
      <w:r>
        <w:rPr>
          <w:rFonts w:hint="eastAsia"/>
          <w:color w:val="auto"/>
          <w:highlight w:val="none"/>
        </w:rPr>
        <w:t>酒、饮料和精制茶制造业整体</w:t>
      </w:r>
      <w:r>
        <w:rPr>
          <w:color w:val="auto"/>
          <w:highlight w:val="none"/>
        </w:rPr>
        <w:t>能耗的</w:t>
      </w:r>
      <w:r>
        <w:rPr>
          <w:rFonts w:hint="eastAsia"/>
          <w:color w:val="auto"/>
          <w:highlight w:val="none"/>
        </w:rPr>
        <w:t>9</w:t>
      </w:r>
      <w:r>
        <w:rPr>
          <w:color w:val="auto"/>
          <w:highlight w:val="none"/>
        </w:rPr>
        <w:t>3%以上，</w:t>
      </w:r>
      <w:r>
        <w:rPr>
          <w:rFonts w:hint="eastAsia"/>
          <w:color w:val="auto"/>
          <w:highlight w:val="none"/>
        </w:rPr>
        <w:t>产值</w:t>
      </w:r>
      <w:r>
        <w:rPr>
          <w:color w:val="auto"/>
          <w:highlight w:val="none"/>
        </w:rPr>
        <w:t>占比9</w:t>
      </w:r>
      <w:r>
        <w:rPr>
          <w:rFonts w:hint="eastAsia"/>
          <w:color w:val="auto"/>
          <w:highlight w:val="none"/>
        </w:rPr>
        <w:t>0</w:t>
      </w:r>
      <w:r>
        <w:rPr>
          <w:color w:val="auto"/>
          <w:highlight w:val="none"/>
        </w:rPr>
        <w:t>%以上。</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3</w:t>
      </w:r>
      <w:r>
        <w:rPr>
          <w:color w:val="auto"/>
          <w:highlight w:val="none"/>
        </w:rPr>
        <w:fldChar w:fldCharType="end"/>
      </w:r>
      <w:r>
        <w:rPr>
          <w:color w:val="auto"/>
          <w:highlight w:val="none"/>
        </w:rPr>
        <w:t xml:space="preserve"> </w:t>
      </w:r>
      <w:r>
        <w:rPr>
          <w:rFonts w:hint="eastAsia"/>
          <w:color w:val="auto"/>
          <w:highlight w:val="none"/>
        </w:rPr>
        <w:t>20</w:t>
      </w:r>
      <w:r>
        <w:rPr>
          <w:rFonts w:hint="eastAsia"/>
          <w:color w:val="auto"/>
          <w:highlight w:val="none"/>
          <w:lang w:val="en-US" w:eastAsia="zh-CN"/>
        </w:rPr>
        <w:t>22</w:t>
      </w:r>
      <w:r>
        <w:rPr>
          <w:rFonts w:hint="eastAsia"/>
          <w:color w:val="auto"/>
          <w:highlight w:val="none"/>
        </w:rPr>
        <w:t>年高新区酒、饮料和精制茶制造业规上企业能耗情况（当量值）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09"/>
        <w:gridCol w:w="1404"/>
        <w:gridCol w:w="140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企业名称</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（万元）</w:t>
            </w:r>
          </w:p>
        </w:tc>
        <w:tc>
          <w:tcPr>
            <w:tcW w:w="8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天龙黄鹤楼酒业咸宁有限公司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1112.56</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36120.45</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湖北奥瑞金饮料工业有限公司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4463.56</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8270.4</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0.5397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今麦郎饮品（咸宁）有限公司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3222.6</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23235.8</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红牛维他命饮料（湖北）有限公司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7280.62</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393899.5</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捷通（咸宁）食品科技有限公司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0.57</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6071.03</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小计</w:t>
            </w:r>
          </w:p>
        </w:tc>
        <w:tc>
          <w:tcPr>
            <w:tcW w:w="834" w:type="pct"/>
            <w:shd w:val="clear" w:color="auto" w:fill="auto"/>
            <w:noWrap/>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16079.91</w:t>
            </w:r>
          </w:p>
        </w:tc>
        <w:tc>
          <w:tcPr>
            <w:tcW w:w="834" w:type="pct"/>
            <w:shd w:val="clear" w:color="auto" w:fill="auto"/>
            <w:noWrap/>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467597.18</w:t>
            </w:r>
          </w:p>
        </w:tc>
        <w:tc>
          <w:tcPr>
            <w:tcW w:w="833" w:type="pct"/>
            <w:shd w:val="clear" w:color="auto" w:fill="auto"/>
            <w:noWrap/>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0.0344</w:t>
            </w:r>
          </w:p>
        </w:tc>
      </w:tr>
    </w:tbl>
    <w:p>
      <w:pPr>
        <w:spacing w:line="240" w:lineRule="auto"/>
        <w:ind w:firstLine="0" w:firstLineChars="0"/>
        <w:rPr>
          <w:color w:val="auto"/>
          <w:sz w:val="24"/>
          <w:highlight w:val="none"/>
        </w:rPr>
      </w:pPr>
    </w:p>
    <w:p>
      <w:pPr>
        <w:pStyle w:val="4"/>
        <w:numPr>
          <w:ilvl w:val="2"/>
          <w:numId w:val="2"/>
        </w:numPr>
        <w:ind w:left="709" w:hanging="709"/>
        <w:rPr>
          <w:color w:val="auto"/>
          <w:highlight w:val="none"/>
        </w:rPr>
      </w:pPr>
      <w:bookmarkStart w:id="83" w:name="_Toc20635"/>
      <w:r>
        <w:rPr>
          <w:rFonts w:hint="eastAsia"/>
          <w:color w:val="auto"/>
          <w:highlight w:val="none"/>
        </w:rPr>
        <w:t>纺织业</w:t>
      </w:r>
      <w:bookmarkEnd w:id="83"/>
    </w:p>
    <w:p>
      <w:pPr>
        <w:ind w:firstLine="560"/>
        <w:rPr>
          <w:color w:val="auto"/>
          <w:highlight w:val="none"/>
        </w:rPr>
      </w:pPr>
      <w:r>
        <w:rPr>
          <w:rFonts w:hint="eastAsia"/>
          <w:color w:val="auto"/>
          <w:highlight w:val="none"/>
        </w:rPr>
        <w:t>纺织业是咸宁高新区第三耗能行业，区内现有5家纺织业规上企业，主要为纺织品加工企业，其中湖北天化麻业股份有限公司、咸宁润雅毛巾有限公司是主要耗能大户。</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4</w:t>
      </w:r>
      <w:r>
        <w:rPr>
          <w:color w:val="auto"/>
          <w:highlight w:val="none"/>
        </w:rPr>
        <w:fldChar w:fldCharType="end"/>
      </w:r>
      <w:r>
        <w:rPr>
          <w:color w:val="auto"/>
          <w:highlight w:val="none"/>
        </w:rPr>
        <w:t xml:space="preserve"> </w:t>
      </w:r>
      <w:r>
        <w:rPr>
          <w:rFonts w:hint="eastAsia"/>
          <w:color w:val="auto"/>
          <w:highlight w:val="none"/>
          <w:lang w:val="en-US" w:eastAsia="zh-CN"/>
        </w:rPr>
        <w:t xml:space="preserve"> </w:t>
      </w:r>
      <w:r>
        <w:rPr>
          <w:rFonts w:hint="eastAsia"/>
          <w:color w:val="auto"/>
          <w:highlight w:val="none"/>
        </w:rPr>
        <w:t>20</w:t>
      </w:r>
      <w:r>
        <w:rPr>
          <w:rFonts w:hint="eastAsia"/>
          <w:color w:val="auto"/>
          <w:highlight w:val="none"/>
          <w:lang w:val="en-US" w:eastAsia="zh-CN"/>
        </w:rPr>
        <w:t>22</w:t>
      </w:r>
      <w:r>
        <w:rPr>
          <w:rFonts w:hint="eastAsia"/>
          <w:color w:val="auto"/>
          <w:highlight w:val="none"/>
        </w:rPr>
        <w:t>年高新区纺织业规上企业能耗情况（当量值）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09"/>
        <w:gridCol w:w="1404"/>
        <w:gridCol w:w="140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企业名称</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（万元）</w:t>
            </w:r>
          </w:p>
        </w:tc>
        <w:tc>
          <w:tcPr>
            <w:tcW w:w="8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湖北维新纺织股份有限公司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1475.82</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6071.027</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咸宁瑞雅毛巾有限公司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1235.19</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14158.2</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湖北天化麻业股份有限公司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3497.73</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6853.5</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0.1802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咸宁润雅毛巾有限公司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2975.69</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25708</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咸宁爱科医疗用品有限公司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307.99</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15551.92</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小计</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9492.42</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70795.277</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0.1341</w:t>
            </w:r>
          </w:p>
        </w:tc>
      </w:tr>
    </w:tbl>
    <w:p>
      <w:pPr>
        <w:spacing w:line="240" w:lineRule="auto"/>
        <w:ind w:firstLine="0" w:firstLineChars="0"/>
        <w:rPr>
          <w:color w:val="auto"/>
          <w:highlight w:val="none"/>
        </w:rPr>
      </w:pPr>
    </w:p>
    <w:p>
      <w:pPr>
        <w:pStyle w:val="4"/>
        <w:numPr>
          <w:ilvl w:val="2"/>
          <w:numId w:val="2"/>
        </w:numPr>
        <w:ind w:left="709" w:hanging="709"/>
        <w:rPr>
          <w:color w:val="auto"/>
          <w:highlight w:val="none"/>
        </w:rPr>
      </w:pPr>
      <w:bookmarkStart w:id="84" w:name="_Toc26680"/>
      <w:r>
        <w:rPr>
          <w:rFonts w:hint="eastAsia"/>
          <w:color w:val="auto"/>
          <w:highlight w:val="none"/>
        </w:rPr>
        <w:t>金属制品业</w:t>
      </w:r>
      <w:bookmarkEnd w:id="84"/>
    </w:p>
    <w:p>
      <w:pPr>
        <w:ind w:firstLine="560"/>
        <w:rPr>
          <w:color w:val="auto"/>
          <w:highlight w:val="none"/>
        </w:rPr>
      </w:pPr>
      <w:r>
        <w:rPr>
          <w:rFonts w:hint="eastAsia"/>
          <w:color w:val="auto"/>
          <w:highlight w:val="none"/>
        </w:rPr>
        <w:t>金属制品业是咸宁高新区第四耗能行业，区内现有</w:t>
      </w:r>
      <w:r>
        <w:rPr>
          <w:color w:val="auto"/>
          <w:highlight w:val="none"/>
        </w:rPr>
        <w:t>8</w:t>
      </w:r>
      <w:r>
        <w:rPr>
          <w:rFonts w:hint="eastAsia"/>
          <w:color w:val="auto"/>
          <w:highlight w:val="none"/>
        </w:rPr>
        <w:t>家金属制品业规上企业，主要为区内为饮料生产配套的金属包装容器制造企业，其中湖北奥瑞金制罐有限公司、湖北奥瑞金包装有限公司是主要耗能大户。</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ind w:firstLine="560"/>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5</w:t>
      </w:r>
      <w:r>
        <w:rPr>
          <w:color w:val="auto"/>
          <w:highlight w:val="none"/>
        </w:rPr>
        <w:fldChar w:fldCharType="end"/>
      </w:r>
      <w:r>
        <w:rPr>
          <w:rFonts w:hint="eastAsia"/>
          <w:color w:val="auto"/>
          <w:highlight w:val="none"/>
          <w:lang w:val="en-US" w:eastAsia="zh-CN"/>
        </w:rPr>
        <w:t xml:space="preserve"> </w:t>
      </w:r>
      <w:r>
        <w:rPr>
          <w:color w:val="auto"/>
          <w:highlight w:val="none"/>
        </w:rPr>
        <w:t xml:space="preserve"> </w:t>
      </w:r>
      <w:r>
        <w:rPr>
          <w:rFonts w:hint="eastAsia"/>
          <w:color w:val="auto"/>
          <w:highlight w:val="none"/>
        </w:rPr>
        <w:t>20</w:t>
      </w:r>
      <w:r>
        <w:rPr>
          <w:rFonts w:hint="eastAsia"/>
          <w:color w:val="auto"/>
          <w:highlight w:val="none"/>
          <w:lang w:val="en-US" w:eastAsia="zh-CN"/>
        </w:rPr>
        <w:t>22</w:t>
      </w:r>
      <w:r>
        <w:rPr>
          <w:rFonts w:hint="eastAsia"/>
          <w:color w:val="auto"/>
          <w:highlight w:val="none"/>
        </w:rPr>
        <w:t>年高新区金属制品业规上企业能耗情况（当量值）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09"/>
        <w:gridCol w:w="1404"/>
        <w:gridCol w:w="140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企业名称</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（万元）</w:t>
            </w:r>
          </w:p>
        </w:tc>
        <w:tc>
          <w:tcPr>
            <w:tcW w:w="8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华夏金桥湖北商业设施股份有限公司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340.73</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5356</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咸宁万力钢结构有限公司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185.58</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16500.26</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湖北金星钢结构工程有限公司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99.55</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4059</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湖北奥瑞金制罐有限公司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2676.59</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170759.259</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湖北奥瑞金包装有限公司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3098.37</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18757.306</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0.1652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湖北港都商贸有限公司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11.31</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3058.2</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湖北近藤商用电气有限公司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5.53</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3138.5</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湖北凯创机械有限公司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148.14</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3858.7</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小计</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6565.8</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225487.225</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0.0291</w:t>
            </w:r>
          </w:p>
        </w:tc>
      </w:tr>
    </w:tbl>
    <w:p>
      <w:pPr>
        <w:spacing w:line="240" w:lineRule="auto"/>
        <w:ind w:firstLine="0" w:firstLineChars="0"/>
        <w:rPr>
          <w:color w:val="auto"/>
          <w:highlight w:val="none"/>
        </w:rPr>
      </w:pPr>
    </w:p>
    <w:p>
      <w:pPr>
        <w:pStyle w:val="4"/>
        <w:numPr>
          <w:ilvl w:val="2"/>
          <w:numId w:val="2"/>
        </w:numPr>
        <w:ind w:left="709" w:hanging="709"/>
        <w:rPr>
          <w:color w:val="auto"/>
          <w:highlight w:val="none"/>
        </w:rPr>
      </w:pPr>
      <w:bookmarkStart w:id="85" w:name="_Toc29393"/>
      <w:r>
        <w:rPr>
          <w:rFonts w:hint="eastAsia"/>
          <w:color w:val="auto"/>
          <w:highlight w:val="none"/>
        </w:rPr>
        <w:t>医药制造业</w:t>
      </w:r>
      <w:bookmarkEnd w:id="85"/>
    </w:p>
    <w:p>
      <w:pPr>
        <w:ind w:firstLine="560"/>
        <w:rPr>
          <w:color w:val="auto"/>
          <w:highlight w:val="none"/>
        </w:rPr>
      </w:pPr>
      <w:r>
        <w:rPr>
          <w:rFonts w:hint="eastAsia"/>
          <w:color w:val="auto"/>
          <w:highlight w:val="none"/>
        </w:rPr>
        <w:t>医药制造业是咸宁高新区第五耗能行业，区内现有</w:t>
      </w:r>
      <w:r>
        <w:rPr>
          <w:color w:val="auto"/>
          <w:highlight w:val="none"/>
        </w:rPr>
        <w:t>7</w:t>
      </w:r>
      <w:r>
        <w:rPr>
          <w:rFonts w:hint="eastAsia"/>
          <w:color w:val="auto"/>
          <w:highlight w:val="none"/>
        </w:rPr>
        <w:t>家医药制造业规上企业，主要为卫生材料及医药用品制造企业，其中金士达医疗（咸宁）有限公司、湖北福人金身药业有限公司是主要耗能用户。</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ind w:firstLine="560"/>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6</w:t>
      </w:r>
      <w:r>
        <w:rPr>
          <w:color w:val="auto"/>
          <w:highlight w:val="none"/>
        </w:rPr>
        <w:fldChar w:fldCharType="end"/>
      </w:r>
      <w:r>
        <w:rPr>
          <w:color w:val="auto"/>
          <w:highlight w:val="none"/>
        </w:rPr>
        <w:t xml:space="preserve"> </w:t>
      </w:r>
      <w:r>
        <w:rPr>
          <w:rFonts w:hint="eastAsia"/>
          <w:color w:val="auto"/>
          <w:highlight w:val="none"/>
        </w:rPr>
        <w:t>20</w:t>
      </w:r>
      <w:r>
        <w:rPr>
          <w:rFonts w:hint="eastAsia"/>
          <w:color w:val="auto"/>
          <w:highlight w:val="none"/>
          <w:lang w:val="en-US" w:eastAsia="zh-CN"/>
        </w:rPr>
        <w:t>22</w:t>
      </w:r>
      <w:r>
        <w:rPr>
          <w:rFonts w:hint="eastAsia"/>
          <w:color w:val="auto"/>
          <w:highlight w:val="none"/>
        </w:rPr>
        <w:t>年高新区医药制造业规上企业能耗情况（当量值）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09"/>
        <w:gridCol w:w="1404"/>
        <w:gridCol w:w="140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企业名称</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（万元）</w:t>
            </w:r>
          </w:p>
        </w:tc>
        <w:tc>
          <w:tcPr>
            <w:tcW w:w="8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湖北康进药业有限责任公司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湖北福人金身药业有限公司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1680.84</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27888.7</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0.0603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湖北绿雪生物产业有限公司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18.53</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637.69</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0.0291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湖北吉斯生物科技有限公司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3.96</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6802</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杰士邦卫生用品有限公司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138.88</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73463.8</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金士达医疗（咸宁）有限公司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2418.15</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22375.7</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0.1081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湖北五湖医疗器械有限公司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24.04</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4662</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小计</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4284.4</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135829.89</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0.0315</w:t>
            </w:r>
          </w:p>
        </w:tc>
      </w:tr>
    </w:tbl>
    <w:p>
      <w:pPr>
        <w:spacing w:line="240" w:lineRule="auto"/>
        <w:ind w:firstLine="0" w:firstLineChars="0"/>
        <w:rPr>
          <w:color w:val="auto"/>
          <w:highlight w:val="none"/>
        </w:rPr>
      </w:pPr>
    </w:p>
    <w:p>
      <w:pPr>
        <w:pStyle w:val="4"/>
        <w:numPr>
          <w:ilvl w:val="2"/>
          <w:numId w:val="2"/>
        </w:numPr>
        <w:ind w:left="709" w:hanging="709"/>
        <w:rPr>
          <w:color w:val="auto"/>
          <w:highlight w:val="none"/>
        </w:rPr>
      </w:pPr>
      <w:bookmarkStart w:id="86" w:name="_Toc7848"/>
      <w:r>
        <w:rPr>
          <w:rFonts w:hint="eastAsia"/>
          <w:color w:val="auto"/>
          <w:highlight w:val="none"/>
        </w:rPr>
        <w:t>造纸和纸制品业</w:t>
      </w:r>
      <w:bookmarkEnd w:id="86"/>
    </w:p>
    <w:p>
      <w:pPr>
        <w:ind w:firstLine="560"/>
        <w:rPr>
          <w:color w:val="auto"/>
          <w:highlight w:val="none"/>
        </w:rPr>
      </w:pPr>
      <w:r>
        <w:rPr>
          <w:rFonts w:hint="eastAsia"/>
          <w:color w:val="auto"/>
          <w:highlight w:val="none"/>
        </w:rPr>
        <w:t>造纸和纸制品业是咸宁高新区第六耗能行业，区内现有</w:t>
      </w:r>
      <w:r>
        <w:rPr>
          <w:color w:val="auto"/>
          <w:highlight w:val="none"/>
        </w:rPr>
        <w:t>1</w:t>
      </w:r>
      <w:r>
        <w:rPr>
          <w:rFonts w:hint="eastAsia"/>
          <w:color w:val="auto"/>
          <w:highlight w:val="none"/>
        </w:rPr>
        <w:t>家造纸和纸制品业规上企业，为湖北恒丰纸业有限公司，该</w:t>
      </w:r>
      <w:r>
        <w:rPr>
          <w:color w:val="auto"/>
          <w:highlight w:val="none"/>
        </w:rPr>
        <w:t>企业</w:t>
      </w:r>
      <w:r>
        <w:rPr>
          <w:rFonts w:hint="eastAsia"/>
          <w:color w:val="auto"/>
          <w:highlight w:val="none"/>
        </w:rPr>
        <w:t>主要</w:t>
      </w:r>
      <w:r>
        <w:rPr>
          <w:color w:val="auto"/>
          <w:highlight w:val="none"/>
        </w:rPr>
        <w:t>为卷烟</w:t>
      </w:r>
      <w:r>
        <w:rPr>
          <w:rFonts w:hint="eastAsia"/>
          <w:color w:val="auto"/>
          <w:highlight w:val="none"/>
        </w:rPr>
        <w:t>配套</w:t>
      </w:r>
      <w:r>
        <w:rPr>
          <w:color w:val="auto"/>
          <w:highlight w:val="none"/>
        </w:rPr>
        <w:t>生产</w:t>
      </w:r>
      <w:r>
        <w:rPr>
          <w:rFonts w:hint="eastAsia"/>
          <w:color w:val="auto"/>
          <w:highlight w:val="none"/>
        </w:rPr>
        <w:t>铝箔衬纸，由于</w:t>
      </w:r>
      <w:r>
        <w:rPr>
          <w:color w:val="auto"/>
          <w:highlight w:val="none"/>
        </w:rPr>
        <w:t>工艺</w:t>
      </w:r>
      <w:r>
        <w:rPr>
          <w:rFonts w:hint="eastAsia"/>
          <w:color w:val="auto"/>
          <w:highlight w:val="none"/>
        </w:rPr>
        <w:t>技术</w:t>
      </w:r>
      <w:r>
        <w:rPr>
          <w:color w:val="auto"/>
          <w:highlight w:val="none"/>
        </w:rPr>
        <w:t>要求</w:t>
      </w:r>
      <w:r>
        <w:rPr>
          <w:rFonts w:hint="eastAsia"/>
          <w:color w:val="auto"/>
          <w:highlight w:val="none"/>
        </w:rPr>
        <w:t>，</w:t>
      </w:r>
      <w:r>
        <w:rPr>
          <w:color w:val="auto"/>
          <w:highlight w:val="none"/>
        </w:rPr>
        <w:t>其单位产品能耗高于</w:t>
      </w:r>
      <w:r>
        <w:rPr>
          <w:rFonts w:hint="eastAsia"/>
          <w:color w:val="auto"/>
          <w:highlight w:val="none"/>
        </w:rPr>
        <w:t>常规</w:t>
      </w:r>
      <w:r>
        <w:rPr>
          <w:color w:val="auto"/>
          <w:highlight w:val="none"/>
        </w:rPr>
        <w:t>纸品</w:t>
      </w:r>
      <w:r>
        <w:rPr>
          <w:rFonts w:hint="eastAsia"/>
          <w:color w:val="auto"/>
          <w:highlight w:val="none"/>
        </w:rPr>
        <w:t>。</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ind w:firstLine="560"/>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7</w:t>
      </w:r>
      <w:r>
        <w:rPr>
          <w:color w:val="auto"/>
          <w:highlight w:val="none"/>
        </w:rPr>
        <w:fldChar w:fldCharType="end"/>
      </w:r>
      <w:r>
        <w:rPr>
          <w:color w:val="auto"/>
          <w:highlight w:val="none"/>
        </w:rPr>
        <w:t xml:space="preserve"> </w:t>
      </w:r>
      <w:r>
        <w:rPr>
          <w:rFonts w:hint="eastAsia"/>
          <w:color w:val="auto"/>
          <w:highlight w:val="none"/>
        </w:rPr>
        <w:t>20</w:t>
      </w:r>
      <w:r>
        <w:rPr>
          <w:rFonts w:hint="eastAsia"/>
          <w:color w:val="auto"/>
          <w:highlight w:val="none"/>
          <w:lang w:val="en-US" w:eastAsia="zh-CN"/>
        </w:rPr>
        <w:t>22</w:t>
      </w:r>
      <w:r>
        <w:rPr>
          <w:rFonts w:hint="eastAsia"/>
          <w:color w:val="auto"/>
          <w:highlight w:val="none"/>
        </w:rPr>
        <w:t>年高新区造纸和纸制品业规上企业能耗情况（当量值）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09"/>
        <w:gridCol w:w="1404"/>
        <w:gridCol w:w="140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企业名称</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（万元）</w:t>
            </w:r>
          </w:p>
        </w:tc>
        <w:tc>
          <w:tcPr>
            <w:tcW w:w="8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湖北恒丰纸业有限公司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4204.64</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7712.8</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0.5452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小计</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4204.64</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7712.8</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0.5452</w:t>
            </w:r>
          </w:p>
        </w:tc>
      </w:tr>
    </w:tbl>
    <w:p>
      <w:pPr>
        <w:spacing w:line="240" w:lineRule="auto"/>
        <w:ind w:firstLine="560"/>
        <w:rPr>
          <w:color w:val="auto"/>
          <w:highlight w:val="none"/>
        </w:rPr>
      </w:pPr>
    </w:p>
    <w:p>
      <w:pPr>
        <w:pStyle w:val="3"/>
        <w:numPr>
          <w:ilvl w:val="1"/>
          <w:numId w:val="2"/>
        </w:numPr>
        <w:ind w:left="567" w:hanging="567"/>
        <w:rPr>
          <w:color w:val="auto"/>
          <w:highlight w:val="none"/>
        </w:rPr>
      </w:pPr>
      <w:bookmarkStart w:id="87" w:name="_Toc14444"/>
      <w:r>
        <w:rPr>
          <w:rFonts w:hint="default"/>
          <w:color w:val="auto"/>
          <w:highlight w:val="none"/>
        </w:rPr>
        <w:t>区域</w:t>
      </w:r>
      <w:r>
        <w:rPr>
          <w:rFonts w:hint="eastAsia"/>
          <w:color w:val="auto"/>
          <w:highlight w:val="none"/>
        </w:rPr>
        <w:t>内负面清单的评价界定</w:t>
      </w:r>
      <w:bookmarkEnd w:id="87"/>
    </w:p>
    <w:p>
      <w:pPr>
        <w:ind w:firstLine="560"/>
        <w:rPr>
          <w:color w:val="auto"/>
          <w:highlight w:val="none"/>
        </w:rPr>
      </w:pPr>
      <w:r>
        <w:rPr>
          <w:rFonts w:hint="eastAsia"/>
          <w:color w:val="auto"/>
          <w:highlight w:val="none"/>
        </w:rPr>
        <w:t>以高耗能行业、国家确定的产能过剩行业、国家审批（核准）的政府（企业）投资项目等为基础，结合咸宁高新区</w:t>
      </w:r>
      <w:r>
        <w:rPr>
          <w:rFonts w:hint="eastAsia"/>
          <w:color w:val="auto"/>
          <w:highlight w:val="none"/>
          <w:lang w:eastAsia="zh-CN"/>
        </w:rPr>
        <w:t>“十四五”</w:t>
      </w:r>
      <w:r>
        <w:rPr>
          <w:rFonts w:hint="eastAsia"/>
          <w:color w:val="auto"/>
          <w:highlight w:val="none"/>
        </w:rPr>
        <w:t>发展规划，科学评价界定高新区工业固定资产投资项目负面清单，具体如下：</w:t>
      </w:r>
    </w:p>
    <w:p>
      <w:pPr>
        <w:ind w:firstLine="560"/>
        <w:rPr>
          <w:color w:val="auto"/>
          <w:highlight w:val="none"/>
        </w:rPr>
      </w:pPr>
      <w:r>
        <w:rPr>
          <w:rFonts w:hint="eastAsia"/>
          <w:color w:val="auto"/>
          <w:highlight w:val="none"/>
        </w:rPr>
        <w:t>（1）六大高耗能行业</w:t>
      </w:r>
    </w:p>
    <w:p>
      <w:pPr>
        <w:ind w:firstLine="560"/>
        <w:rPr>
          <w:color w:val="auto"/>
          <w:highlight w:val="none"/>
        </w:rPr>
      </w:pPr>
      <w:r>
        <w:rPr>
          <w:rFonts w:hint="eastAsia"/>
          <w:color w:val="auto"/>
          <w:highlight w:val="none"/>
        </w:rPr>
        <w:t>电力热力的生产和供应业、石油加工炼焦及核燃料加工业、化学原料及化学制品制造业、有色金属冶炼及压延加工业、黑色金属冶炼及压延加工业、非金属矿物制品业等六大高耗能行业。</w:t>
      </w:r>
    </w:p>
    <w:p>
      <w:pPr>
        <w:ind w:firstLine="56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）非禁燃区范围内新增煤炭消费量的项目</w:t>
      </w:r>
    </w:p>
    <w:p>
      <w:pPr>
        <w:ind w:firstLine="560"/>
        <w:rPr>
          <w:color w:val="auto"/>
          <w:highlight w:val="none"/>
        </w:rPr>
      </w:pPr>
      <w:r>
        <w:rPr>
          <w:rFonts w:hint="eastAsia"/>
          <w:color w:val="auto"/>
          <w:highlight w:val="none"/>
        </w:rPr>
        <w:t>咸宁</w:t>
      </w:r>
      <w:r>
        <w:rPr>
          <w:color w:val="auto"/>
          <w:highlight w:val="none"/>
        </w:rPr>
        <w:t>高新区范围内，</w:t>
      </w:r>
      <w:r>
        <w:rPr>
          <w:rFonts w:hint="eastAsia"/>
          <w:color w:val="auto"/>
          <w:highlight w:val="none"/>
        </w:rPr>
        <w:t>在高污染燃料禁燃区范围内禁止新增煤炭消耗量的投资项目；非禁燃区范围内新增煤炭消耗量的投资项目列入负面清单。</w:t>
      </w:r>
    </w:p>
    <w:p>
      <w:pPr>
        <w:ind w:firstLine="560" w:firstLineChars="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）年</w:t>
      </w:r>
      <w:r>
        <w:rPr>
          <w:color w:val="auto"/>
          <w:highlight w:val="none"/>
        </w:rPr>
        <w:t>能源消费量超过</w:t>
      </w:r>
      <w:r>
        <w:rPr>
          <w:rFonts w:hint="eastAsia"/>
          <w:color w:val="auto"/>
          <w:highlight w:val="none"/>
          <w:lang w:val="en-US" w:eastAsia="zh-CN"/>
        </w:rPr>
        <w:t>5000</w:t>
      </w:r>
      <w:r>
        <w:rPr>
          <w:rFonts w:hint="eastAsia"/>
          <w:color w:val="auto"/>
          <w:highlight w:val="none"/>
        </w:rPr>
        <w:t>吨</w:t>
      </w:r>
      <w:r>
        <w:rPr>
          <w:color w:val="auto"/>
          <w:highlight w:val="none"/>
        </w:rPr>
        <w:t>标煤</w:t>
      </w:r>
      <w:r>
        <w:rPr>
          <w:rFonts w:hint="eastAsia"/>
          <w:color w:val="auto"/>
          <w:highlight w:val="none"/>
        </w:rPr>
        <w:t>（当量值）</w:t>
      </w:r>
      <w:r>
        <w:rPr>
          <w:rFonts w:hint="eastAsia"/>
          <w:color w:val="auto"/>
          <w:highlight w:val="none"/>
          <w:lang w:val="en-US" w:eastAsia="zh-CN"/>
        </w:rPr>
        <w:t>的固定资产投资项目</w:t>
      </w:r>
      <w:r>
        <w:rPr>
          <w:rFonts w:hint="eastAsia"/>
          <w:color w:val="auto"/>
          <w:highlight w:val="none"/>
        </w:rPr>
        <w:t>或项目建设</w:t>
      </w:r>
      <w:r>
        <w:rPr>
          <w:color w:val="auto"/>
          <w:highlight w:val="none"/>
        </w:rPr>
        <w:t>单位</w:t>
      </w:r>
      <w:r>
        <w:rPr>
          <w:rFonts w:hint="eastAsia"/>
          <w:color w:val="auto"/>
          <w:highlight w:val="none"/>
        </w:rPr>
        <w:t>自愿进行节能审查的项目</w:t>
      </w:r>
    </w:p>
    <w:p>
      <w:pPr>
        <w:ind w:firstLine="560" w:firstLineChars="0"/>
        <w:rPr>
          <w:color w:val="auto"/>
          <w:highlight w:val="none"/>
        </w:rPr>
      </w:pPr>
      <w:r>
        <w:rPr>
          <w:rFonts w:hint="eastAsia"/>
          <w:color w:val="auto"/>
          <w:highlight w:val="none"/>
        </w:rPr>
        <w:t>年</w:t>
      </w:r>
      <w:r>
        <w:rPr>
          <w:color w:val="auto"/>
          <w:highlight w:val="none"/>
        </w:rPr>
        <w:t>能源消费量超过</w:t>
      </w:r>
      <w:r>
        <w:rPr>
          <w:rFonts w:hint="eastAsia"/>
          <w:color w:val="auto"/>
          <w:highlight w:val="none"/>
          <w:lang w:val="en-US" w:eastAsia="zh-CN"/>
        </w:rPr>
        <w:t>5000</w:t>
      </w:r>
      <w:r>
        <w:rPr>
          <w:rFonts w:hint="eastAsia"/>
          <w:color w:val="auto"/>
          <w:highlight w:val="none"/>
        </w:rPr>
        <w:t>吨</w:t>
      </w:r>
      <w:r>
        <w:rPr>
          <w:color w:val="auto"/>
          <w:highlight w:val="none"/>
        </w:rPr>
        <w:t>标煤</w:t>
      </w:r>
      <w:r>
        <w:rPr>
          <w:rFonts w:hint="eastAsia"/>
          <w:color w:val="auto"/>
          <w:highlight w:val="none"/>
        </w:rPr>
        <w:t>（当量值）</w:t>
      </w:r>
      <w:r>
        <w:rPr>
          <w:rFonts w:hint="eastAsia"/>
          <w:color w:val="auto"/>
          <w:highlight w:val="none"/>
          <w:lang w:val="en-US" w:eastAsia="zh-CN"/>
        </w:rPr>
        <w:t>的固定资产投资项目</w:t>
      </w:r>
      <w:r>
        <w:rPr>
          <w:rFonts w:hint="eastAsia"/>
          <w:color w:val="auto"/>
          <w:highlight w:val="none"/>
        </w:rPr>
        <w:t>以及项目建设单位自愿进行节能审查的项目列入负面清单。</w:t>
      </w:r>
    </w:p>
    <w:p>
      <w:pPr>
        <w:ind w:firstLine="560"/>
        <w:rPr>
          <w:color w:val="auto"/>
          <w:highlight w:val="none"/>
        </w:rPr>
      </w:pPr>
      <w:r>
        <w:rPr>
          <w:rFonts w:hint="eastAsia"/>
          <w:color w:val="auto"/>
          <w:highlight w:val="none"/>
        </w:rPr>
        <w:t>综上所述，投资项目符合上述评估界定中的一类，则纳入负面清单。对负面清单外的项目实行承诺备案管理，负面清单内的项目执行现有固定资产投资项目节能评估审查制度。</w:t>
      </w:r>
    </w:p>
    <w:p>
      <w:pPr>
        <w:pStyle w:val="3"/>
        <w:numPr>
          <w:ilvl w:val="1"/>
          <w:numId w:val="2"/>
        </w:numPr>
        <w:ind w:left="567" w:hanging="567"/>
        <w:rPr>
          <w:color w:val="auto"/>
          <w:highlight w:val="none"/>
        </w:rPr>
      </w:pPr>
      <w:bookmarkStart w:id="88" w:name="_Toc21174"/>
      <w:r>
        <w:rPr>
          <w:rFonts w:hint="default"/>
          <w:color w:val="auto"/>
          <w:highlight w:val="none"/>
        </w:rPr>
        <w:t>区域</w:t>
      </w:r>
      <w:r>
        <w:rPr>
          <w:rFonts w:hint="eastAsia"/>
          <w:color w:val="auto"/>
          <w:highlight w:val="none"/>
        </w:rPr>
        <w:t>内负面清单信息汇总</w:t>
      </w:r>
      <w:bookmarkEnd w:id="88"/>
    </w:p>
    <w:p>
      <w:pPr>
        <w:ind w:firstLine="560"/>
        <w:rPr>
          <w:color w:val="auto"/>
          <w:highlight w:val="none"/>
        </w:rPr>
      </w:pPr>
      <w:r>
        <w:rPr>
          <w:rFonts w:hint="eastAsia"/>
          <w:color w:val="auto"/>
          <w:highlight w:val="none"/>
        </w:rPr>
        <w:t>依据评价界定值，对咸宁高新</w:t>
      </w:r>
      <w:r>
        <w:rPr>
          <w:color w:val="auto"/>
          <w:highlight w:val="none"/>
        </w:rPr>
        <w:t>开发区</w:t>
      </w:r>
      <w:r>
        <w:rPr>
          <w:rFonts w:hint="eastAsia"/>
          <w:color w:val="auto"/>
          <w:highlight w:val="none"/>
        </w:rPr>
        <w:t>工业固定资产投资项目建立负面清单，负面清单以内为重点行业，其余为一般行业。咸宁高新</w:t>
      </w:r>
      <w:r>
        <w:rPr>
          <w:color w:val="auto"/>
          <w:highlight w:val="none"/>
        </w:rPr>
        <w:t>开发区</w:t>
      </w:r>
      <w:r>
        <w:rPr>
          <w:rFonts w:hint="eastAsia"/>
          <w:color w:val="auto"/>
          <w:highlight w:val="none"/>
        </w:rPr>
        <w:t>区域能评负面清单信息汇总见下表。</w:t>
      </w:r>
      <w:r>
        <w:rPr>
          <w:color w:val="auto"/>
          <w:highlight w:val="none"/>
        </w:rPr>
        <w:br w:type="page"/>
      </w:r>
    </w:p>
    <w:p>
      <w:pPr>
        <w:pStyle w:val="9"/>
        <w:keepNext/>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8</w:t>
      </w:r>
      <w:r>
        <w:rPr>
          <w:color w:val="auto"/>
          <w:highlight w:val="none"/>
        </w:rPr>
        <w:fldChar w:fldCharType="end"/>
      </w:r>
      <w:r>
        <w:rPr>
          <w:color w:val="auto"/>
          <w:highlight w:val="none"/>
        </w:rPr>
        <w:t xml:space="preserve"> </w:t>
      </w:r>
      <w:r>
        <w:rPr>
          <w:rFonts w:hint="eastAsia"/>
          <w:color w:val="auto"/>
          <w:highlight w:val="none"/>
        </w:rPr>
        <w:t>咸宁高新开发区负面清单汇总</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568"/>
        <w:gridCol w:w="6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
                <w:bCs/>
                <w:color w:val="auto"/>
                <w:sz w:val="24"/>
                <w:szCs w:val="24"/>
                <w:highlight w:val="none"/>
              </w:rPr>
            </w:pPr>
            <w:r>
              <w:rPr>
                <w:rFonts w:ascii="Times New Roman" w:hAnsi="Times New Roman" w:eastAsiaTheme="minorEastAsia"/>
                <w:b/>
                <w:bCs/>
                <w:color w:val="auto"/>
                <w:sz w:val="24"/>
                <w:szCs w:val="24"/>
                <w:highlight w:val="none"/>
              </w:rPr>
              <w:t>序号</w:t>
            </w:r>
          </w:p>
        </w:tc>
        <w:tc>
          <w:tcPr>
            <w:tcW w:w="6768" w:type="dxa"/>
            <w:tcMar>
              <w:top w:w="15" w:type="dxa"/>
              <w:left w:w="15" w:type="dxa"/>
              <w:right w:w="15" w:type="dxa"/>
            </w:tcMar>
            <w:vAlign w:val="center"/>
          </w:tcPr>
          <w:p>
            <w:pPr>
              <w:pStyle w:val="69"/>
              <w:jc w:val="center"/>
              <w:rPr>
                <w:rFonts w:ascii="Times New Roman" w:hAnsi="Times New Roman" w:eastAsiaTheme="minorEastAsia"/>
                <w:b/>
                <w:bCs/>
                <w:color w:val="auto"/>
                <w:sz w:val="24"/>
                <w:szCs w:val="24"/>
                <w:highlight w:val="none"/>
              </w:rPr>
            </w:pPr>
            <w:r>
              <w:rPr>
                <w:rFonts w:ascii="Times New Roman" w:hAnsi="Times New Roman" w:eastAsiaTheme="minorEastAsia"/>
                <w:b/>
                <w:bCs/>
                <w:color w:val="auto"/>
                <w:sz w:val="24"/>
                <w:szCs w:val="24"/>
                <w:highlight w:val="none"/>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第一类</w:t>
            </w:r>
          </w:p>
        </w:tc>
        <w:tc>
          <w:tcPr>
            <w:tcW w:w="6768" w:type="dxa"/>
            <w:tcMar>
              <w:top w:w="15" w:type="dxa"/>
              <w:left w:w="15" w:type="dxa"/>
              <w:right w:w="15" w:type="dxa"/>
            </w:tcMar>
            <w:vAlign w:val="center"/>
          </w:tcPr>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六大高耗能行业：</w:t>
            </w:r>
          </w:p>
          <w:p>
            <w:pPr>
              <w:pStyle w:val="69"/>
              <w:numPr>
                <w:ilvl w:val="0"/>
                <w:numId w:val="10"/>
              </w:numPr>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电力热力的生产和供应业</w:t>
            </w:r>
          </w:p>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（2）石油加工炼焦及核燃料加工业</w:t>
            </w:r>
          </w:p>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（3）化学原料及化学制品制造业</w:t>
            </w:r>
          </w:p>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（4）有色金属冶炼及压延加工业</w:t>
            </w:r>
          </w:p>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（5）黑色金属冶炼及压延加工业</w:t>
            </w:r>
          </w:p>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（6）非金属矿物制品业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w:t>
            </w:r>
            <w:r>
              <w:rPr>
                <w:rFonts w:hint="eastAsia" w:ascii="Times New Roman" w:hAnsi="Times New Roman" w:eastAsiaTheme="minorEastAsia"/>
                <w:bCs/>
                <w:color w:val="auto"/>
                <w:sz w:val="24"/>
                <w:szCs w:val="24"/>
                <w:highlight w:val="none"/>
              </w:rPr>
              <w:t>二</w:t>
            </w:r>
            <w:r>
              <w:rPr>
                <w:rFonts w:ascii="Times New Roman" w:hAnsi="Times New Roman" w:eastAsiaTheme="minorEastAsia"/>
                <w:bCs/>
                <w:color w:val="auto"/>
                <w:sz w:val="24"/>
                <w:szCs w:val="24"/>
                <w:highlight w:val="none"/>
              </w:rPr>
              <w:t>类</w:t>
            </w:r>
          </w:p>
        </w:tc>
        <w:tc>
          <w:tcPr>
            <w:tcW w:w="6768" w:type="dxa"/>
            <w:tcMar>
              <w:top w:w="15" w:type="dxa"/>
              <w:left w:w="15" w:type="dxa"/>
              <w:right w:w="15" w:type="dxa"/>
            </w:tcMar>
            <w:vAlign w:val="center"/>
          </w:tcPr>
          <w:p>
            <w:pPr>
              <w:pStyle w:val="69"/>
              <w:spacing w:line="288" w:lineRule="auto"/>
              <w:rPr>
                <w:rFonts w:ascii="Times New Roman" w:hAnsi="Times New Roman" w:eastAsiaTheme="minorEastAsia"/>
                <w:bCs/>
                <w:color w:val="auto"/>
                <w:sz w:val="24"/>
                <w:szCs w:val="24"/>
                <w:highlight w:val="none"/>
              </w:rPr>
            </w:pPr>
            <w:r>
              <w:rPr>
                <w:rFonts w:hint="eastAsia" w:ascii="Times New Roman" w:hAnsi="Times New Roman" w:eastAsiaTheme="minorEastAsia"/>
                <w:bCs/>
                <w:color w:val="auto"/>
                <w:sz w:val="24"/>
                <w:szCs w:val="24"/>
                <w:highlight w:val="none"/>
              </w:rPr>
              <w:t>禁燃区范围内禁止新增煤炭消耗量的投资项目；非禁燃区范围内新增煤炭消耗量的投资项目列入负面清单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w:t>
            </w:r>
            <w:r>
              <w:rPr>
                <w:rFonts w:hint="eastAsia" w:ascii="Times New Roman" w:hAnsi="Times New Roman" w:eastAsiaTheme="minorEastAsia"/>
                <w:bCs/>
                <w:color w:val="auto"/>
                <w:sz w:val="24"/>
                <w:szCs w:val="24"/>
                <w:highlight w:val="none"/>
              </w:rPr>
              <w:t>三</w:t>
            </w:r>
            <w:r>
              <w:rPr>
                <w:rFonts w:ascii="Times New Roman" w:hAnsi="Times New Roman" w:eastAsiaTheme="minorEastAsia"/>
                <w:bCs/>
                <w:color w:val="auto"/>
                <w:sz w:val="24"/>
                <w:szCs w:val="24"/>
                <w:highlight w:val="none"/>
              </w:rPr>
              <w:t>类</w:t>
            </w:r>
          </w:p>
        </w:tc>
        <w:tc>
          <w:tcPr>
            <w:tcW w:w="6768" w:type="dxa"/>
            <w:tcMar>
              <w:top w:w="15" w:type="dxa"/>
              <w:left w:w="15" w:type="dxa"/>
              <w:right w:w="15" w:type="dxa"/>
            </w:tcMar>
            <w:vAlign w:val="center"/>
          </w:tcPr>
          <w:p>
            <w:pPr>
              <w:pStyle w:val="69"/>
              <w:numPr>
                <w:ilvl w:val="0"/>
                <w:numId w:val="11"/>
              </w:numPr>
              <w:spacing w:line="288" w:lineRule="auto"/>
              <w:rPr>
                <w:rFonts w:ascii="Times New Roman" w:hAnsi="Times New Roman" w:eastAsiaTheme="minorEastAsia"/>
                <w:bCs/>
                <w:color w:val="auto"/>
                <w:sz w:val="24"/>
                <w:szCs w:val="24"/>
                <w:highlight w:val="none"/>
              </w:rPr>
            </w:pPr>
            <w:r>
              <w:rPr>
                <w:rFonts w:hint="default" w:ascii="Times New Roman" w:hAnsi="Times New Roman" w:eastAsiaTheme="minorEastAsia"/>
                <w:bCs/>
                <w:color w:val="auto"/>
                <w:sz w:val="24"/>
                <w:szCs w:val="24"/>
                <w:highlight w:val="none"/>
              </w:rPr>
              <w:t>年</w:t>
            </w:r>
            <w:r>
              <w:rPr>
                <w:rFonts w:ascii="Times New Roman" w:hAnsi="Times New Roman" w:eastAsiaTheme="minorEastAsia"/>
                <w:bCs/>
                <w:color w:val="auto"/>
                <w:sz w:val="24"/>
                <w:szCs w:val="24"/>
                <w:highlight w:val="none"/>
              </w:rPr>
              <w:t>能源消费量超过</w:t>
            </w:r>
            <w:r>
              <w:rPr>
                <w:rFonts w:hint="eastAsia" w:ascii="Times New Roman" w:hAnsi="Times New Roman" w:eastAsiaTheme="minorEastAsia"/>
                <w:bCs/>
                <w:color w:val="auto"/>
                <w:sz w:val="24"/>
                <w:szCs w:val="24"/>
                <w:highlight w:val="none"/>
                <w:lang w:val="en-US" w:eastAsia="zh-CN"/>
              </w:rPr>
              <w:t>5</w:t>
            </w:r>
            <w:r>
              <w:rPr>
                <w:rFonts w:hint="default" w:ascii="Times New Roman" w:hAnsi="Times New Roman" w:eastAsiaTheme="minorEastAsia"/>
                <w:bCs/>
                <w:color w:val="auto"/>
                <w:sz w:val="24"/>
                <w:szCs w:val="24"/>
                <w:highlight w:val="none"/>
              </w:rPr>
              <w:t>000吨</w:t>
            </w:r>
            <w:r>
              <w:rPr>
                <w:rFonts w:ascii="Times New Roman" w:hAnsi="Times New Roman" w:eastAsiaTheme="minorEastAsia"/>
                <w:bCs/>
                <w:color w:val="auto"/>
                <w:sz w:val="24"/>
                <w:szCs w:val="24"/>
                <w:highlight w:val="none"/>
              </w:rPr>
              <w:t>标煤</w:t>
            </w:r>
            <w:r>
              <w:rPr>
                <w:rFonts w:hint="default" w:ascii="Times New Roman" w:hAnsi="Times New Roman" w:eastAsiaTheme="minorEastAsia"/>
                <w:bCs/>
                <w:color w:val="auto"/>
                <w:sz w:val="24"/>
                <w:szCs w:val="24"/>
                <w:highlight w:val="none"/>
              </w:rPr>
              <w:t>（当量值）</w:t>
            </w:r>
            <w:r>
              <w:rPr>
                <w:rFonts w:hint="default" w:ascii="Times New Roman" w:hAnsi="Times New Roman" w:eastAsiaTheme="minorEastAsia"/>
                <w:bCs/>
                <w:color w:val="auto"/>
                <w:sz w:val="24"/>
                <w:szCs w:val="24"/>
                <w:highlight w:val="none"/>
                <w:lang w:val="en-US" w:eastAsia="zh-CN"/>
              </w:rPr>
              <w:t>的固定资产投资项目</w:t>
            </w:r>
          </w:p>
          <w:p>
            <w:pPr>
              <w:pStyle w:val="69"/>
              <w:numPr>
                <w:ilvl w:val="0"/>
                <w:numId w:val="11"/>
              </w:numPr>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企业自愿要求开展节能评价审查的项目</w:t>
            </w:r>
          </w:p>
        </w:tc>
      </w:tr>
    </w:tbl>
    <w:p>
      <w:pPr>
        <w:spacing w:line="240" w:lineRule="auto"/>
        <w:ind w:firstLine="0" w:firstLineChars="0"/>
        <w:rPr>
          <w:color w:val="auto"/>
          <w:sz w:val="21"/>
          <w:highlight w:val="none"/>
        </w:rPr>
      </w:pPr>
    </w:p>
    <w:p>
      <w:pPr>
        <w:ind w:firstLine="560"/>
        <w:rPr>
          <w:color w:val="auto"/>
          <w:highlight w:val="none"/>
        </w:rPr>
      </w:pPr>
      <w:r>
        <w:rPr>
          <w:rFonts w:hint="eastAsia"/>
          <w:color w:val="auto"/>
          <w:highlight w:val="none"/>
        </w:rPr>
        <w:t>通过简化审批环节和优化审批流程，对一般项目实行承诺备案管理（节能承诺备案表见附件一），以政府服务代替企业办事，全面提高能评审批效率，不断优化发展环境。</w:t>
      </w:r>
    </w:p>
    <w:p>
      <w:pPr>
        <w:pStyle w:val="3"/>
        <w:numPr>
          <w:ilvl w:val="1"/>
          <w:numId w:val="2"/>
        </w:numPr>
        <w:ind w:left="567" w:hanging="567"/>
        <w:rPr>
          <w:color w:val="auto"/>
          <w:highlight w:val="none"/>
        </w:rPr>
      </w:pPr>
      <w:bookmarkStart w:id="89" w:name="_Toc20170"/>
      <w:r>
        <w:rPr>
          <w:rFonts w:hint="eastAsia"/>
          <w:color w:val="auto"/>
          <w:highlight w:val="none"/>
        </w:rPr>
        <w:t>区域内主要行业单位产品能效控制指标汇总</w:t>
      </w:r>
      <w:bookmarkEnd w:id="89"/>
    </w:p>
    <w:p>
      <w:pPr>
        <w:ind w:firstLine="560"/>
        <w:rPr>
          <w:rFonts w:hint="eastAsia"/>
          <w:color w:val="auto"/>
          <w:highlight w:val="none"/>
        </w:rPr>
      </w:pPr>
      <w:r>
        <w:rPr>
          <w:rFonts w:hint="eastAsia"/>
          <w:color w:val="auto"/>
          <w:highlight w:val="none"/>
        </w:rPr>
        <w:t>咸宁国家高新技术产业开发区暂未针对</w:t>
      </w:r>
      <w:r>
        <w:rPr>
          <w:color w:val="auto"/>
          <w:highlight w:val="none"/>
        </w:rPr>
        <w:t>自身产业发展</w:t>
      </w:r>
      <w:r>
        <w:rPr>
          <w:rFonts w:hint="eastAsia"/>
          <w:color w:val="auto"/>
          <w:highlight w:val="none"/>
        </w:rPr>
        <w:t>制定相关能源</w:t>
      </w:r>
      <w:r>
        <w:rPr>
          <w:color w:val="auto"/>
          <w:highlight w:val="none"/>
        </w:rPr>
        <w:t>限额标准</w:t>
      </w:r>
      <w:r>
        <w:rPr>
          <w:rFonts w:hint="eastAsia"/>
          <w:color w:val="auto"/>
          <w:highlight w:val="none"/>
        </w:rPr>
        <w:t>，本报告结合《上海产业能效指南（20</w:t>
      </w:r>
      <w:r>
        <w:rPr>
          <w:rFonts w:hint="eastAsia"/>
          <w:color w:val="auto"/>
          <w:highlight w:val="none"/>
          <w:lang w:val="en-US" w:eastAsia="zh-CN"/>
        </w:rPr>
        <w:t>21</w:t>
      </w:r>
      <w:r>
        <w:rPr>
          <w:rFonts w:hint="eastAsia"/>
          <w:color w:val="auto"/>
          <w:highlight w:val="none"/>
        </w:rPr>
        <w:t>年版）》和国家及先进省市已颁布实施的相关</w:t>
      </w:r>
      <w:r>
        <w:rPr>
          <w:color w:val="auto"/>
          <w:highlight w:val="none"/>
        </w:rPr>
        <w:t>产业</w:t>
      </w:r>
      <w:r>
        <w:rPr>
          <w:rFonts w:hint="eastAsia"/>
          <w:color w:val="auto"/>
          <w:highlight w:val="none"/>
        </w:rPr>
        <w:t>能效标准，列出</w:t>
      </w:r>
      <w:r>
        <w:rPr>
          <w:color w:val="auto"/>
          <w:highlight w:val="none"/>
        </w:rPr>
        <w:t>高新区</w:t>
      </w:r>
      <w:r>
        <w:rPr>
          <w:rFonts w:hint="eastAsia"/>
          <w:color w:val="auto"/>
          <w:highlight w:val="none"/>
        </w:rPr>
        <w:t>现有</w:t>
      </w:r>
      <w:r>
        <w:rPr>
          <w:color w:val="auto"/>
          <w:highlight w:val="none"/>
        </w:rPr>
        <w:t>及规划</w:t>
      </w:r>
      <w:r>
        <w:rPr>
          <w:rFonts w:hint="eastAsia"/>
          <w:color w:val="auto"/>
          <w:highlight w:val="none"/>
        </w:rPr>
        <w:t>重点</w:t>
      </w:r>
      <w:r>
        <w:rPr>
          <w:color w:val="auto"/>
          <w:highlight w:val="none"/>
        </w:rPr>
        <w:t>行业产品的</w:t>
      </w:r>
      <w:r>
        <w:rPr>
          <w:rFonts w:hint="eastAsia"/>
          <w:color w:val="auto"/>
          <w:highlight w:val="none"/>
        </w:rPr>
        <w:t>单位产品能效控制指标以供参考</w:t>
      </w:r>
      <w:r>
        <w:rPr>
          <w:rFonts w:hint="eastAsia"/>
          <w:color w:val="auto"/>
          <w:highlight w:val="none"/>
          <w:lang w:eastAsia="zh-CN"/>
        </w:rPr>
        <w:t>，</w:t>
      </w:r>
      <w:r>
        <w:rPr>
          <w:rFonts w:hint="eastAsia"/>
          <w:color w:val="auto"/>
          <w:highlight w:val="none"/>
          <w:lang w:val="en-US" w:eastAsia="zh-CN"/>
        </w:rPr>
        <w:t>见</w:t>
      </w:r>
      <w:r>
        <w:rPr>
          <w:rFonts w:hint="eastAsia"/>
          <w:color w:val="auto"/>
          <w:highlight w:val="none"/>
          <w:lang w:val="en-US" w:eastAsia="zh-CN"/>
        </w:rPr>
        <w:fldChar w:fldCharType="begin"/>
      </w:r>
      <w:r>
        <w:rPr>
          <w:rFonts w:hint="eastAsia"/>
          <w:color w:val="auto"/>
          <w:highlight w:val="none"/>
          <w:lang w:val="en-US" w:eastAsia="zh-CN"/>
        </w:rPr>
        <w:instrText xml:space="preserve"> REF _Ref22183 \h </w:instrText>
      </w:r>
      <w:r>
        <w:rPr>
          <w:rFonts w:hint="eastAsia"/>
          <w:color w:val="auto"/>
          <w:highlight w:val="none"/>
          <w:lang w:val="en-US" w:eastAsia="zh-CN"/>
        </w:rPr>
        <w:fldChar w:fldCharType="separate"/>
      </w:r>
      <w:r>
        <w:rPr>
          <w:rFonts w:hint="eastAsia"/>
          <w:color w:val="auto"/>
          <w:highlight w:val="none"/>
        </w:rPr>
        <w:t>表6- 9</w:t>
      </w:r>
      <w:r>
        <w:rPr>
          <w:rFonts w:hint="eastAsia"/>
          <w:color w:val="auto"/>
          <w:highlight w:val="none"/>
          <w:lang w:val="en-US" w:eastAsia="zh-CN"/>
        </w:rPr>
        <w:fldChar w:fldCharType="end"/>
      </w:r>
      <w:r>
        <w:rPr>
          <w:color w:val="auto"/>
          <w:highlight w:val="none"/>
        </w:rPr>
        <w:t>，</w:t>
      </w:r>
      <w:r>
        <w:rPr>
          <w:rFonts w:hint="eastAsia"/>
          <w:color w:val="auto"/>
          <w:highlight w:val="none"/>
        </w:rPr>
        <w:t>今后在具体的节能管理过程中，可根据行业特点制定咸宁国家高新技术产业开发区相关能耗</w:t>
      </w:r>
      <w:r>
        <w:rPr>
          <w:color w:val="auto"/>
          <w:highlight w:val="none"/>
        </w:rPr>
        <w:t>限额</w:t>
      </w:r>
      <w:r>
        <w:rPr>
          <w:rFonts w:hint="eastAsia"/>
          <w:color w:val="auto"/>
          <w:highlight w:val="none"/>
        </w:rPr>
        <w:t>标准。</w:t>
      </w:r>
    </w:p>
    <w:p>
      <w:pPr>
        <w:pStyle w:val="27"/>
        <w:rPr>
          <w:rFonts w:hint="default" w:eastAsia="宋体"/>
          <w:color w:val="auto"/>
          <w:highlight w:val="none"/>
          <w:lang w:val="en-US" w:eastAsia="zh-CN"/>
        </w:rPr>
      </w:pPr>
      <w:r>
        <w:rPr>
          <w:rFonts w:hint="eastAsia"/>
          <w:color w:val="auto"/>
          <w:highlight w:val="none"/>
          <w:lang w:val="en-US" w:eastAsia="zh-CN"/>
        </w:rPr>
        <w:t>列出建筑能效指标</w:t>
      </w:r>
      <w:r>
        <w:rPr>
          <w:rFonts w:hint="eastAsia"/>
          <w:color w:val="auto"/>
          <w:highlight w:val="none"/>
        </w:rPr>
        <w:t>以供参考</w:t>
      </w:r>
      <w:r>
        <w:rPr>
          <w:rFonts w:hint="eastAsia"/>
          <w:color w:val="auto"/>
          <w:highlight w:val="none"/>
          <w:lang w:eastAsia="zh-CN"/>
        </w:rPr>
        <w:t>，</w:t>
      </w:r>
      <w:r>
        <w:rPr>
          <w:rFonts w:hint="eastAsia"/>
          <w:color w:val="auto"/>
          <w:highlight w:val="none"/>
          <w:lang w:val="en-US" w:eastAsia="zh-CN"/>
        </w:rPr>
        <w:t>见</w:t>
      </w:r>
      <w:r>
        <w:rPr>
          <w:rFonts w:hint="eastAsia"/>
          <w:color w:val="auto"/>
          <w:highlight w:val="none"/>
          <w:lang w:val="en-US" w:eastAsia="zh-CN"/>
        </w:rPr>
        <w:fldChar w:fldCharType="begin"/>
      </w:r>
      <w:r>
        <w:rPr>
          <w:rFonts w:hint="eastAsia"/>
          <w:color w:val="auto"/>
          <w:highlight w:val="none"/>
          <w:lang w:val="en-US" w:eastAsia="zh-CN"/>
        </w:rPr>
        <w:instrText xml:space="preserve"> REF _Ref22669 \h </w:instrText>
      </w:r>
      <w:r>
        <w:rPr>
          <w:rFonts w:hint="eastAsia"/>
          <w:color w:val="auto"/>
          <w:highlight w:val="none"/>
          <w:lang w:val="en-US" w:eastAsia="zh-CN"/>
        </w:rPr>
        <w:fldChar w:fldCharType="separate"/>
      </w:r>
      <w:r>
        <w:rPr>
          <w:rFonts w:hint="eastAsia"/>
          <w:color w:val="auto"/>
          <w:highlight w:val="none"/>
        </w:rPr>
        <w:t>表6- 10</w:t>
      </w:r>
      <w:r>
        <w:rPr>
          <w:rFonts w:hint="eastAsia"/>
          <w:color w:val="auto"/>
          <w:highlight w:val="none"/>
          <w:lang w:val="en-US" w:eastAsia="zh-CN"/>
        </w:rPr>
        <w:fldChar w:fldCharType="end"/>
      </w:r>
      <w:r>
        <w:rPr>
          <w:rFonts w:hint="eastAsia"/>
          <w:color w:val="auto"/>
          <w:highlight w:val="none"/>
          <w:lang w:val="en-US" w:eastAsia="zh-CN"/>
        </w:rPr>
        <w:t>。</w:t>
      </w:r>
    </w:p>
    <w:p>
      <w:pPr>
        <w:ind w:firstLine="560"/>
        <w:rPr>
          <w:color w:val="auto"/>
          <w:highlight w:val="none"/>
        </w:rPr>
        <w:sectPr>
          <w:pgSz w:w="11906" w:h="16838"/>
          <w:pgMar w:top="1440" w:right="1800" w:bottom="1440" w:left="1800" w:header="850" w:footer="992" w:gutter="0"/>
          <w:cols w:space="425" w:num="1"/>
          <w:docGrid w:type="lines" w:linePitch="381" w:charSpace="0"/>
        </w:sectPr>
      </w:pPr>
    </w:p>
    <w:p>
      <w:pPr>
        <w:pStyle w:val="9"/>
        <w:keepNext/>
        <w:rPr>
          <w:color w:val="auto"/>
          <w:highlight w:val="none"/>
        </w:rPr>
      </w:pPr>
      <w:bookmarkStart w:id="90" w:name="_Ref22183"/>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9</w:t>
      </w:r>
      <w:r>
        <w:rPr>
          <w:color w:val="auto"/>
          <w:highlight w:val="none"/>
        </w:rPr>
        <w:fldChar w:fldCharType="end"/>
      </w:r>
      <w:bookmarkEnd w:id="90"/>
      <w:r>
        <w:rPr>
          <w:color w:val="auto"/>
          <w:highlight w:val="none"/>
        </w:rPr>
        <w:t xml:space="preserve"> </w:t>
      </w:r>
      <w:r>
        <w:rPr>
          <w:rFonts w:hint="eastAsia"/>
          <w:color w:val="auto"/>
          <w:highlight w:val="none"/>
        </w:rPr>
        <w:t>产品单耗限额准入值</w:t>
      </w:r>
    </w:p>
    <w:tbl>
      <w:tblPr>
        <w:tblStyle w:val="29"/>
        <w:tblW w:w="51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03"/>
        <w:gridCol w:w="1724"/>
        <w:gridCol w:w="2178"/>
        <w:gridCol w:w="1122"/>
        <w:gridCol w:w="1122"/>
        <w:gridCol w:w="1122"/>
        <w:gridCol w:w="1298"/>
        <w:gridCol w:w="1608"/>
        <w:gridCol w:w="2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blHeader/>
          <w:jc w:val="center"/>
        </w:trPr>
        <w:tc>
          <w:tcPr>
            <w:tcW w:w="256" w:type="pct"/>
            <w:vAlign w:val="center"/>
          </w:tcPr>
          <w:p>
            <w:pPr>
              <w:spacing w:line="240" w:lineRule="auto"/>
              <w:ind w:firstLine="0" w:firstLineChars="0"/>
              <w:jc w:val="center"/>
              <w:rPr>
                <w:b/>
                <w:color w:val="auto"/>
                <w:sz w:val="24"/>
                <w:highlight w:val="none"/>
              </w:rPr>
            </w:pPr>
            <w:r>
              <w:rPr>
                <w:rFonts w:hint="eastAsia"/>
                <w:b/>
                <w:color w:val="auto"/>
                <w:sz w:val="24"/>
                <w:highlight w:val="none"/>
              </w:rPr>
              <w:t>序号</w:t>
            </w:r>
          </w:p>
        </w:tc>
        <w:tc>
          <w:tcPr>
            <w:tcW w:w="627" w:type="pct"/>
            <w:vAlign w:val="center"/>
          </w:tcPr>
          <w:p>
            <w:pPr>
              <w:spacing w:line="240" w:lineRule="auto"/>
              <w:ind w:firstLine="0" w:firstLineChars="0"/>
              <w:jc w:val="center"/>
              <w:rPr>
                <w:b/>
                <w:color w:val="auto"/>
                <w:sz w:val="24"/>
                <w:highlight w:val="none"/>
              </w:rPr>
            </w:pPr>
            <w:r>
              <w:rPr>
                <w:rFonts w:hint="eastAsia"/>
                <w:b/>
                <w:color w:val="auto"/>
                <w:sz w:val="24"/>
                <w:highlight w:val="none"/>
              </w:rPr>
              <w:t>产品</w:t>
            </w:r>
          </w:p>
        </w:tc>
        <w:tc>
          <w:tcPr>
            <w:tcW w:w="792" w:type="pct"/>
            <w:vAlign w:val="center"/>
          </w:tcPr>
          <w:p>
            <w:pPr>
              <w:spacing w:line="240" w:lineRule="auto"/>
              <w:ind w:firstLine="0" w:firstLineChars="0"/>
              <w:jc w:val="center"/>
              <w:rPr>
                <w:b/>
                <w:color w:val="auto"/>
                <w:sz w:val="24"/>
                <w:highlight w:val="none"/>
              </w:rPr>
            </w:pPr>
            <w:r>
              <w:rPr>
                <w:rFonts w:hint="eastAsia"/>
                <w:b/>
                <w:color w:val="auto"/>
                <w:sz w:val="24"/>
                <w:highlight w:val="none"/>
              </w:rPr>
              <w:t>指标</w:t>
            </w:r>
            <w:r>
              <w:rPr>
                <w:b/>
                <w:color w:val="auto"/>
                <w:sz w:val="24"/>
                <w:highlight w:val="none"/>
              </w:rPr>
              <w:t>名称</w:t>
            </w:r>
          </w:p>
        </w:tc>
        <w:tc>
          <w:tcPr>
            <w:tcW w:w="408" w:type="pct"/>
            <w:vAlign w:val="center"/>
          </w:tcPr>
          <w:p>
            <w:pPr>
              <w:spacing w:line="240" w:lineRule="auto"/>
              <w:ind w:firstLine="0" w:firstLineChars="0"/>
              <w:jc w:val="center"/>
              <w:rPr>
                <w:b/>
                <w:color w:val="auto"/>
                <w:sz w:val="24"/>
                <w:highlight w:val="none"/>
              </w:rPr>
            </w:pPr>
            <w:r>
              <w:rPr>
                <w:rFonts w:hint="eastAsia"/>
                <w:b/>
                <w:color w:val="auto"/>
                <w:sz w:val="24"/>
                <w:highlight w:val="none"/>
              </w:rPr>
              <w:t>限定值</w:t>
            </w:r>
          </w:p>
        </w:tc>
        <w:tc>
          <w:tcPr>
            <w:tcW w:w="408" w:type="pct"/>
            <w:vAlign w:val="center"/>
          </w:tcPr>
          <w:p>
            <w:pPr>
              <w:spacing w:line="240" w:lineRule="auto"/>
              <w:ind w:firstLine="0" w:firstLineChars="0"/>
              <w:jc w:val="center"/>
              <w:rPr>
                <w:b/>
                <w:color w:val="auto"/>
                <w:sz w:val="24"/>
                <w:highlight w:val="none"/>
              </w:rPr>
            </w:pPr>
            <w:r>
              <w:rPr>
                <w:rFonts w:hint="eastAsia"/>
                <w:b/>
                <w:color w:val="auto"/>
                <w:sz w:val="24"/>
                <w:highlight w:val="none"/>
              </w:rPr>
              <w:t>准入值</w:t>
            </w:r>
          </w:p>
        </w:tc>
        <w:tc>
          <w:tcPr>
            <w:tcW w:w="408" w:type="pct"/>
            <w:vAlign w:val="center"/>
          </w:tcPr>
          <w:p>
            <w:pPr>
              <w:spacing w:line="240" w:lineRule="auto"/>
              <w:ind w:firstLine="0" w:firstLineChars="0"/>
              <w:jc w:val="center"/>
              <w:rPr>
                <w:b/>
                <w:color w:val="auto"/>
                <w:sz w:val="24"/>
                <w:highlight w:val="none"/>
              </w:rPr>
            </w:pPr>
            <w:r>
              <w:rPr>
                <w:rFonts w:hint="eastAsia"/>
                <w:b/>
                <w:color w:val="auto"/>
                <w:sz w:val="24"/>
                <w:highlight w:val="none"/>
              </w:rPr>
              <w:t>先进</w:t>
            </w:r>
            <w:r>
              <w:rPr>
                <w:b/>
                <w:color w:val="auto"/>
                <w:sz w:val="24"/>
                <w:highlight w:val="none"/>
              </w:rPr>
              <w:t>值</w:t>
            </w:r>
          </w:p>
        </w:tc>
        <w:tc>
          <w:tcPr>
            <w:tcW w:w="1057" w:type="pct"/>
            <w:gridSpan w:val="2"/>
            <w:vAlign w:val="center"/>
          </w:tcPr>
          <w:p>
            <w:pPr>
              <w:spacing w:line="240" w:lineRule="auto"/>
              <w:ind w:firstLine="0" w:firstLineChars="0"/>
              <w:jc w:val="center"/>
              <w:rPr>
                <w:b/>
                <w:color w:val="auto"/>
                <w:sz w:val="24"/>
                <w:highlight w:val="none"/>
              </w:rPr>
            </w:pPr>
            <w:r>
              <w:rPr>
                <w:rFonts w:hint="eastAsia"/>
                <w:b/>
                <w:color w:val="auto"/>
                <w:sz w:val="24"/>
                <w:highlight w:val="none"/>
              </w:rPr>
              <w:t>适用条件</w:t>
            </w:r>
          </w:p>
        </w:tc>
        <w:tc>
          <w:tcPr>
            <w:tcW w:w="1044" w:type="pct"/>
            <w:vAlign w:val="center"/>
          </w:tcPr>
          <w:p>
            <w:pPr>
              <w:spacing w:line="240" w:lineRule="auto"/>
              <w:ind w:firstLine="0" w:firstLineChars="0"/>
              <w:jc w:val="center"/>
              <w:rPr>
                <w:b/>
                <w:color w:val="auto"/>
                <w:sz w:val="24"/>
                <w:highlight w:val="none"/>
              </w:rPr>
            </w:pPr>
            <w:r>
              <w:rPr>
                <w:rFonts w:hint="eastAsia"/>
                <w:b/>
                <w:color w:val="auto"/>
                <w:sz w:val="24"/>
                <w:highlight w:val="none"/>
              </w:rPr>
              <w:t>参考标准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1</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平板玻璃</w:t>
            </w:r>
          </w:p>
        </w:tc>
        <w:tc>
          <w:tcPr>
            <w:tcW w:w="79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单位产品能耗</w:t>
            </w:r>
          </w:p>
          <w:p>
            <w:pPr>
              <w:spacing w:line="240" w:lineRule="auto"/>
              <w:ind w:firstLine="0" w:firstLineChars="0"/>
              <w:jc w:val="center"/>
              <w:rPr>
                <w:color w:val="auto"/>
                <w:sz w:val="24"/>
                <w:highlight w:val="none"/>
              </w:rPr>
            </w:pPr>
            <w:r>
              <w:rPr>
                <w:rFonts w:hint="eastAsia"/>
                <w:color w:val="auto"/>
                <w:sz w:val="24"/>
                <w:highlight w:val="none"/>
              </w:rPr>
              <w:t>（kgce/重量箱）</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13.5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11.</w:t>
            </w:r>
            <w:r>
              <w:rPr>
                <w:color w:val="auto"/>
                <w:sz w:val="24"/>
                <w:highlight w:val="none"/>
              </w:rPr>
              <w:t>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9.5</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生产线</w:t>
            </w:r>
            <w:r>
              <w:rPr>
                <w:color w:val="auto"/>
                <w:sz w:val="24"/>
                <w:highlight w:val="none"/>
              </w:rPr>
              <w:t>设计</w:t>
            </w:r>
          </w:p>
          <w:p>
            <w:pPr>
              <w:spacing w:line="240" w:lineRule="auto"/>
              <w:ind w:firstLine="0" w:firstLineChars="0"/>
              <w:jc w:val="center"/>
              <w:rPr>
                <w:color w:val="auto"/>
                <w:sz w:val="24"/>
                <w:highlight w:val="none"/>
              </w:rPr>
            </w:pPr>
            <w:r>
              <w:rPr>
                <w:color w:val="auto"/>
                <w:sz w:val="24"/>
                <w:highlight w:val="none"/>
              </w:rPr>
              <w:t>能力</w:t>
            </w:r>
            <w:r>
              <w:rPr>
                <w:rFonts w:hint="eastAsia"/>
                <w:color w:val="auto"/>
                <w:sz w:val="24"/>
                <w:highlight w:val="none"/>
              </w:rPr>
              <w:t>（t</w:t>
            </w:r>
            <w:r>
              <w:rPr>
                <w:color w:val="auto"/>
                <w:sz w:val="24"/>
                <w:highlight w:val="none"/>
              </w:rPr>
              <w:t>/d</w:t>
            </w:r>
            <w:r>
              <w:rPr>
                <w:rFonts w:hint="eastAsia"/>
                <w:color w:val="auto"/>
                <w:sz w:val="24"/>
                <w:highlight w:val="none"/>
              </w:rPr>
              <w:t>）</w:t>
            </w: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≥500、</w:t>
            </w:r>
            <w:r>
              <w:rPr>
                <w:rFonts w:asciiTheme="minorEastAsia" w:hAnsiTheme="minorEastAsia" w:eastAsiaTheme="minorEastAsia"/>
                <w:color w:val="auto"/>
                <w:sz w:val="24"/>
                <w:highlight w:val="none"/>
              </w:rPr>
              <w:t>≤</w:t>
            </w:r>
            <w:r>
              <w:rPr>
                <w:color w:val="auto"/>
                <w:sz w:val="24"/>
                <w:highlight w:val="none"/>
              </w:rPr>
              <w:t>800</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《玻璃和铸石单位产品能源消耗限额》（GB 21340-2019）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12.0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0</w:t>
            </w:r>
            <w:r>
              <w:rPr>
                <w:rFonts w:hint="eastAsia"/>
                <w:color w:val="auto"/>
                <w:sz w:val="24"/>
                <w:highlight w:val="none"/>
              </w:rPr>
              <w:t>.0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8.0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＞800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2</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平面普通玻璃</w:t>
            </w:r>
          </w:p>
        </w:tc>
        <w:tc>
          <w:tcPr>
            <w:tcW w:w="79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单位</w:t>
            </w:r>
            <w:r>
              <w:rPr>
                <w:color w:val="auto"/>
                <w:sz w:val="24"/>
                <w:szCs w:val="24"/>
                <w:highlight w:val="none"/>
              </w:rPr>
              <w:t>产品</w:t>
            </w:r>
            <w:r>
              <w:rPr>
                <w:rFonts w:hint="eastAsia"/>
                <w:color w:val="auto"/>
                <w:sz w:val="24"/>
                <w:szCs w:val="24"/>
                <w:highlight w:val="none"/>
              </w:rPr>
              <w:t>电耗</w:t>
            </w:r>
          </w:p>
          <w:p>
            <w:pPr>
              <w:spacing w:line="240" w:lineRule="auto"/>
              <w:ind w:firstLine="0" w:firstLineChars="0"/>
              <w:jc w:val="center"/>
              <w:rPr>
                <w:color w:val="auto"/>
                <w:sz w:val="24"/>
                <w:highlight w:val="none"/>
              </w:rPr>
            </w:pPr>
            <w:r>
              <w:rPr>
                <w:rFonts w:hint="eastAsia"/>
                <w:color w:val="auto"/>
                <w:sz w:val="24"/>
                <w:szCs w:val="24"/>
                <w:highlight w:val="none"/>
              </w:rPr>
              <w:t>（</w:t>
            </w:r>
            <w:r>
              <w:rPr>
                <w:color w:val="auto"/>
                <w:sz w:val="24"/>
                <w:szCs w:val="24"/>
                <w:highlight w:val="none"/>
              </w:rPr>
              <w:t>kW·h/m</w:t>
            </w:r>
            <w:r>
              <w:rPr>
                <w:color w:val="auto"/>
                <w:sz w:val="24"/>
                <w:szCs w:val="24"/>
                <w:highlight w:val="none"/>
                <w:vertAlign w:val="superscript"/>
              </w:rPr>
              <w:t>2</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color w:val="auto"/>
                <w:highlight w:val="none"/>
              </w:rPr>
              <w:t>3.46</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2.75</w:t>
            </w:r>
          </w:p>
        </w:tc>
        <w:tc>
          <w:tcPr>
            <w:tcW w:w="408" w:type="pct"/>
          </w:tcPr>
          <w:p>
            <w:pPr>
              <w:spacing w:line="240" w:lineRule="auto"/>
              <w:ind w:firstLine="0" w:firstLineChars="0"/>
              <w:jc w:val="center"/>
              <w:rPr>
                <w:color w:val="auto"/>
                <w:sz w:val="24"/>
                <w:highlight w:val="none"/>
              </w:rPr>
            </w:pPr>
            <w:r>
              <w:rPr>
                <w:color w:val="auto"/>
                <w:highlight w:val="none"/>
              </w:rPr>
              <w:t>2.20</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产品</w:t>
            </w:r>
            <w:r>
              <w:rPr>
                <w:color w:val="auto"/>
                <w:sz w:val="24"/>
                <w:highlight w:val="none"/>
              </w:rPr>
              <w:t>规格</w:t>
            </w:r>
          </w:p>
          <w:p>
            <w:pPr>
              <w:spacing w:line="240" w:lineRule="auto"/>
              <w:ind w:firstLine="0" w:firstLineChars="0"/>
              <w:jc w:val="center"/>
              <w:rPr>
                <w:color w:val="auto"/>
                <w:sz w:val="24"/>
                <w:highlight w:val="none"/>
              </w:rPr>
            </w:pPr>
            <w:r>
              <w:rPr>
                <w:rFonts w:hint="eastAsia"/>
                <w:color w:val="auto"/>
                <w:sz w:val="24"/>
                <w:highlight w:val="none"/>
              </w:rPr>
              <w:t>（mm）</w:t>
            </w: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《玻璃和铸石单位产品能源消耗限额》（GB 21340-2019）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3.58</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2.87</w:t>
            </w:r>
          </w:p>
        </w:tc>
        <w:tc>
          <w:tcPr>
            <w:tcW w:w="408" w:type="pct"/>
          </w:tcPr>
          <w:p>
            <w:pPr>
              <w:spacing w:line="240" w:lineRule="auto"/>
              <w:ind w:firstLine="0" w:firstLineChars="0"/>
              <w:jc w:val="center"/>
              <w:rPr>
                <w:color w:val="auto"/>
                <w:sz w:val="24"/>
                <w:highlight w:val="none"/>
              </w:rPr>
            </w:pPr>
            <w:r>
              <w:rPr>
                <w:color w:val="auto"/>
                <w:highlight w:val="none"/>
              </w:rPr>
              <w:t>2.30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3.98</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3.30</w:t>
            </w:r>
          </w:p>
        </w:tc>
        <w:tc>
          <w:tcPr>
            <w:tcW w:w="408" w:type="pct"/>
          </w:tcPr>
          <w:p>
            <w:pPr>
              <w:spacing w:line="240" w:lineRule="auto"/>
              <w:ind w:firstLine="0" w:firstLineChars="0"/>
              <w:jc w:val="center"/>
              <w:rPr>
                <w:color w:val="auto"/>
                <w:sz w:val="24"/>
                <w:highlight w:val="none"/>
              </w:rPr>
            </w:pPr>
            <w:r>
              <w:rPr>
                <w:color w:val="auto"/>
                <w:highlight w:val="none"/>
              </w:rPr>
              <w:t>2.64</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4.39</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4.02</w:t>
            </w:r>
          </w:p>
        </w:tc>
        <w:tc>
          <w:tcPr>
            <w:tcW w:w="408" w:type="pct"/>
          </w:tcPr>
          <w:p>
            <w:pPr>
              <w:spacing w:line="240" w:lineRule="auto"/>
              <w:ind w:firstLine="0" w:firstLineChars="0"/>
              <w:jc w:val="center"/>
              <w:rPr>
                <w:color w:val="auto"/>
                <w:sz w:val="24"/>
                <w:highlight w:val="none"/>
              </w:rPr>
            </w:pPr>
            <w:r>
              <w:rPr>
                <w:color w:val="auto"/>
                <w:highlight w:val="none"/>
              </w:rPr>
              <w:t>3.22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6</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5.95</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5.00</w:t>
            </w:r>
          </w:p>
        </w:tc>
        <w:tc>
          <w:tcPr>
            <w:tcW w:w="408" w:type="pct"/>
          </w:tcPr>
          <w:p>
            <w:pPr>
              <w:spacing w:line="240" w:lineRule="auto"/>
              <w:ind w:firstLine="0" w:firstLineChars="0"/>
              <w:jc w:val="center"/>
              <w:rPr>
                <w:color w:val="auto"/>
                <w:sz w:val="24"/>
                <w:highlight w:val="none"/>
              </w:rPr>
            </w:pPr>
            <w:r>
              <w:rPr>
                <w:color w:val="auto"/>
                <w:highlight w:val="none"/>
              </w:rPr>
              <w:t>4.00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8</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7.43</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6.73</w:t>
            </w:r>
          </w:p>
        </w:tc>
        <w:tc>
          <w:tcPr>
            <w:tcW w:w="408" w:type="pct"/>
          </w:tcPr>
          <w:p>
            <w:pPr>
              <w:spacing w:line="240" w:lineRule="auto"/>
              <w:ind w:firstLine="0" w:firstLineChars="0"/>
              <w:jc w:val="center"/>
              <w:rPr>
                <w:color w:val="auto"/>
                <w:sz w:val="24"/>
                <w:highlight w:val="none"/>
              </w:rPr>
            </w:pPr>
            <w:r>
              <w:rPr>
                <w:color w:val="auto"/>
                <w:highlight w:val="none"/>
              </w:rPr>
              <w:t>5.38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8.51</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7.48</w:t>
            </w:r>
          </w:p>
        </w:tc>
        <w:tc>
          <w:tcPr>
            <w:tcW w:w="408" w:type="pct"/>
          </w:tcPr>
          <w:p>
            <w:pPr>
              <w:spacing w:line="240" w:lineRule="auto"/>
              <w:ind w:firstLine="0" w:firstLineChars="0"/>
              <w:jc w:val="center"/>
              <w:rPr>
                <w:color w:val="auto"/>
                <w:sz w:val="24"/>
                <w:highlight w:val="none"/>
              </w:rPr>
            </w:pPr>
            <w:r>
              <w:rPr>
                <w:color w:val="auto"/>
                <w:highlight w:val="none"/>
              </w:rPr>
              <w:t>5.98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12</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10.01</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8.98</w:t>
            </w:r>
          </w:p>
        </w:tc>
        <w:tc>
          <w:tcPr>
            <w:tcW w:w="408" w:type="pct"/>
          </w:tcPr>
          <w:p>
            <w:pPr>
              <w:spacing w:line="240" w:lineRule="auto"/>
              <w:ind w:firstLine="0" w:firstLineChars="0"/>
              <w:jc w:val="center"/>
              <w:rPr>
                <w:color w:val="auto"/>
                <w:sz w:val="24"/>
                <w:highlight w:val="none"/>
              </w:rPr>
            </w:pPr>
            <w:r>
              <w:rPr>
                <w:color w:val="auto"/>
                <w:highlight w:val="none"/>
              </w:rPr>
              <w:t>7.18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14.22</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12.97</w:t>
            </w:r>
          </w:p>
        </w:tc>
        <w:tc>
          <w:tcPr>
            <w:tcW w:w="408" w:type="pct"/>
          </w:tcPr>
          <w:p>
            <w:pPr>
              <w:spacing w:line="240" w:lineRule="auto"/>
              <w:ind w:firstLine="0" w:firstLineChars="0"/>
              <w:jc w:val="center"/>
              <w:rPr>
                <w:color w:val="auto"/>
                <w:sz w:val="24"/>
                <w:highlight w:val="none"/>
              </w:rPr>
            </w:pPr>
            <w:r>
              <w:rPr>
                <w:color w:val="auto"/>
                <w:highlight w:val="none"/>
              </w:rPr>
              <w:t>10.38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19</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3</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平面低辐射镀膜钢化玻璃</w:t>
            </w:r>
          </w:p>
        </w:tc>
        <w:tc>
          <w:tcPr>
            <w:tcW w:w="79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单位</w:t>
            </w:r>
            <w:r>
              <w:rPr>
                <w:color w:val="auto"/>
                <w:sz w:val="24"/>
                <w:szCs w:val="24"/>
                <w:highlight w:val="none"/>
              </w:rPr>
              <w:t>产品</w:t>
            </w:r>
            <w:r>
              <w:rPr>
                <w:rFonts w:hint="eastAsia"/>
                <w:color w:val="auto"/>
                <w:sz w:val="24"/>
                <w:szCs w:val="24"/>
                <w:highlight w:val="none"/>
              </w:rPr>
              <w:t>电耗</w:t>
            </w:r>
          </w:p>
          <w:p>
            <w:pPr>
              <w:spacing w:line="240" w:lineRule="auto"/>
              <w:ind w:firstLine="0" w:firstLineChars="0"/>
              <w:jc w:val="center"/>
              <w:rPr>
                <w:color w:val="auto"/>
                <w:sz w:val="24"/>
                <w:highlight w:val="none"/>
              </w:rPr>
            </w:pPr>
            <w:r>
              <w:rPr>
                <w:rFonts w:hint="eastAsia"/>
                <w:color w:val="auto"/>
                <w:sz w:val="24"/>
                <w:szCs w:val="24"/>
                <w:highlight w:val="none"/>
              </w:rPr>
              <w:t>（</w:t>
            </w:r>
            <w:r>
              <w:rPr>
                <w:color w:val="auto"/>
                <w:sz w:val="24"/>
                <w:szCs w:val="24"/>
                <w:highlight w:val="none"/>
              </w:rPr>
              <w:t>kW·h/m</w:t>
            </w:r>
            <w:r>
              <w:rPr>
                <w:color w:val="auto"/>
                <w:sz w:val="24"/>
                <w:szCs w:val="24"/>
                <w:highlight w:val="none"/>
                <w:vertAlign w:val="superscript"/>
              </w:rPr>
              <w:t>2</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4.29</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3.41</w:t>
            </w:r>
          </w:p>
        </w:tc>
        <w:tc>
          <w:tcPr>
            <w:tcW w:w="408" w:type="pct"/>
          </w:tcPr>
          <w:p>
            <w:pPr>
              <w:spacing w:line="240" w:lineRule="auto"/>
              <w:ind w:firstLine="0" w:firstLineChars="0"/>
              <w:jc w:val="center"/>
              <w:rPr>
                <w:color w:val="auto"/>
                <w:sz w:val="24"/>
                <w:highlight w:val="none"/>
              </w:rPr>
            </w:pPr>
            <w:r>
              <w:rPr>
                <w:color w:val="auto"/>
                <w:highlight w:val="none"/>
              </w:rPr>
              <w:t>2.73</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产品</w:t>
            </w:r>
            <w:r>
              <w:rPr>
                <w:color w:val="auto"/>
                <w:sz w:val="24"/>
                <w:highlight w:val="none"/>
              </w:rPr>
              <w:t>规格</w:t>
            </w:r>
          </w:p>
          <w:p>
            <w:pPr>
              <w:spacing w:line="240" w:lineRule="auto"/>
              <w:ind w:firstLine="0" w:firstLineChars="0"/>
              <w:jc w:val="center"/>
              <w:rPr>
                <w:color w:val="auto"/>
                <w:sz w:val="24"/>
                <w:highlight w:val="none"/>
              </w:rPr>
            </w:pPr>
            <w:r>
              <w:rPr>
                <w:rFonts w:hint="eastAsia"/>
                <w:color w:val="auto"/>
                <w:sz w:val="24"/>
                <w:highlight w:val="none"/>
              </w:rPr>
              <w:t>（mm）</w:t>
            </w: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《玻璃和铸石单位产品能源消耗限额》（GB 21340-2019）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4.44</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3.56</w:t>
            </w:r>
          </w:p>
        </w:tc>
        <w:tc>
          <w:tcPr>
            <w:tcW w:w="408" w:type="pct"/>
          </w:tcPr>
          <w:p>
            <w:pPr>
              <w:spacing w:line="240" w:lineRule="auto"/>
              <w:ind w:firstLine="0" w:firstLineChars="0"/>
              <w:jc w:val="center"/>
              <w:rPr>
                <w:color w:val="auto"/>
                <w:sz w:val="24"/>
                <w:highlight w:val="none"/>
              </w:rPr>
            </w:pPr>
            <w:r>
              <w:rPr>
                <w:color w:val="auto"/>
                <w:highlight w:val="none"/>
              </w:rPr>
              <w:t>2.85</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4.94</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4.09</w:t>
            </w:r>
          </w:p>
        </w:tc>
        <w:tc>
          <w:tcPr>
            <w:tcW w:w="408" w:type="pct"/>
          </w:tcPr>
          <w:p>
            <w:pPr>
              <w:spacing w:line="240" w:lineRule="auto"/>
              <w:ind w:firstLine="0" w:firstLineChars="0"/>
              <w:jc w:val="center"/>
              <w:rPr>
                <w:color w:val="auto"/>
                <w:sz w:val="24"/>
                <w:highlight w:val="none"/>
              </w:rPr>
            </w:pPr>
            <w:r>
              <w:rPr>
                <w:color w:val="auto"/>
                <w:highlight w:val="none"/>
              </w:rPr>
              <w:t>3.27</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5.44</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4.98</w:t>
            </w:r>
          </w:p>
        </w:tc>
        <w:tc>
          <w:tcPr>
            <w:tcW w:w="408" w:type="pct"/>
          </w:tcPr>
          <w:p>
            <w:pPr>
              <w:spacing w:line="240" w:lineRule="auto"/>
              <w:ind w:firstLine="0" w:firstLineChars="0"/>
              <w:jc w:val="center"/>
              <w:rPr>
                <w:color w:val="auto"/>
                <w:sz w:val="24"/>
                <w:highlight w:val="none"/>
              </w:rPr>
            </w:pPr>
            <w:r>
              <w:rPr>
                <w:color w:val="auto"/>
                <w:highlight w:val="none"/>
              </w:rPr>
              <w:t>3.99</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6</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7.38</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6.20</w:t>
            </w:r>
          </w:p>
        </w:tc>
        <w:tc>
          <w:tcPr>
            <w:tcW w:w="408" w:type="pct"/>
          </w:tcPr>
          <w:p>
            <w:pPr>
              <w:spacing w:line="240" w:lineRule="auto"/>
              <w:ind w:firstLine="0" w:firstLineChars="0"/>
              <w:jc w:val="center"/>
              <w:rPr>
                <w:color w:val="auto"/>
                <w:sz w:val="24"/>
                <w:highlight w:val="none"/>
              </w:rPr>
            </w:pPr>
            <w:r>
              <w:rPr>
                <w:color w:val="auto"/>
                <w:highlight w:val="none"/>
              </w:rPr>
              <w:t>4.96</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8</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9.21</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8.35</w:t>
            </w:r>
          </w:p>
        </w:tc>
        <w:tc>
          <w:tcPr>
            <w:tcW w:w="408" w:type="pct"/>
          </w:tcPr>
          <w:p>
            <w:pPr>
              <w:spacing w:line="240" w:lineRule="auto"/>
              <w:ind w:firstLine="0" w:firstLineChars="0"/>
              <w:jc w:val="center"/>
              <w:rPr>
                <w:color w:val="auto"/>
                <w:sz w:val="24"/>
                <w:highlight w:val="none"/>
              </w:rPr>
            </w:pPr>
            <w:r>
              <w:rPr>
                <w:color w:val="auto"/>
                <w:highlight w:val="none"/>
              </w:rPr>
              <w:t>6.57</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10.55</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9.28</w:t>
            </w:r>
          </w:p>
        </w:tc>
        <w:tc>
          <w:tcPr>
            <w:tcW w:w="408" w:type="pct"/>
          </w:tcPr>
          <w:p>
            <w:pPr>
              <w:spacing w:line="240" w:lineRule="auto"/>
              <w:ind w:firstLine="0" w:firstLineChars="0"/>
              <w:jc w:val="center"/>
              <w:rPr>
                <w:color w:val="auto"/>
                <w:sz w:val="24"/>
                <w:highlight w:val="none"/>
              </w:rPr>
            </w:pPr>
            <w:r>
              <w:rPr>
                <w:color w:val="auto"/>
                <w:highlight w:val="none"/>
              </w:rPr>
              <w:t>7.42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12</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12.41</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11.14</w:t>
            </w:r>
          </w:p>
        </w:tc>
        <w:tc>
          <w:tcPr>
            <w:tcW w:w="408" w:type="pct"/>
          </w:tcPr>
          <w:p>
            <w:pPr>
              <w:spacing w:line="240" w:lineRule="auto"/>
              <w:ind w:firstLine="0" w:firstLineChars="0"/>
              <w:jc w:val="center"/>
              <w:rPr>
                <w:color w:val="auto"/>
                <w:sz w:val="24"/>
                <w:highlight w:val="none"/>
              </w:rPr>
            </w:pPr>
            <w:r>
              <w:rPr>
                <w:color w:val="auto"/>
                <w:highlight w:val="none"/>
              </w:rPr>
              <w:t>8.90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17.63</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16.08</w:t>
            </w:r>
          </w:p>
        </w:tc>
        <w:tc>
          <w:tcPr>
            <w:tcW w:w="408" w:type="pct"/>
          </w:tcPr>
          <w:p>
            <w:pPr>
              <w:spacing w:line="240" w:lineRule="auto"/>
              <w:ind w:firstLine="0" w:firstLineChars="0"/>
              <w:jc w:val="center"/>
              <w:rPr>
                <w:color w:val="auto"/>
                <w:sz w:val="24"/>
                <w:highlight w:val="none"/>
              </w:rPr>
            </w:pPr>
            <w:r>
              <w:rPr>
                <w:color w:val="auto"/>
                <w:highlight w:val="none"/>
              </w:rPr>
              <w:t>12.87</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19</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4</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曲面普通钢化玻璃</w:t>
            </w:r>
          </w:p>
        </w:tc>
        <w:tc>
          <w:tcPr>
            <w:tcW w:w="79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单位</w:t>
            </w:r>
            <w:r>
              <w:rPr>
                <w:color w:val="auto"/>
                <w:sz w:val="24"/>
                <w:szCs w:val="24"/>
                <w:highlight w:val="none"/>
              </w:rPr>
              <w:t>产品</w:t>
            </w:r>
            <w:r>
              <w:rPr>
                <w:rFonts w:hint="eastAsia"/>
                <w:color w:val="auto"/>
                <w:sz w:val="24"/>
                <w:szCs w:val="24"/>
                <w:highlight w:val="none"/>
              </w:rPr>
              <w:t>电耗</w:t>
            </w:r>
          </w:p>
          <w:p>
            <w:pPr>
              <w:spacing w:line="240" w:lineRule="auto"/>
              <w:ind w:firstLine="0" w:firstLineChars="0"/>
              <w:jc w:val="center"/>
              <w:rPr>
                <w:color w:val="auto"/>
                <w:sz w:val="24"/>
                <w:highlight w:val="none"/>
              </w:rPr>
            </w:pPr>
            <w:r>
              <w:rPr>
                <w:rFonts w:hint="eastAsia"/>
                <w:color w:val="auto"/>
                <w:sz w:val="24"/>
                <w:szCs w:val="24"/>
                <w:highlight w:val="none"/>
              </w:rPr>
              <w:t>（</w:t>
            </w:r>
            <w:r>
              <w:rPr>
                <w:color w:val="auto"/>
                <w:sz w:val="24"/>
                <w:szCs w:val="24"/>
                <w:highlight w:val="none"/>
              </w:rPr>
              <w:t>kW·h/m</w:t>
            </w:r>
            <w:r>
              <w:rPr>
                <w:color w:val="auto"/>
                <w:sz w:val="24"/>
                <w:szCs w:val="24"/>
                <w:highlight w:val="none"/>
                <w:vertAlign w:val="superscript"/>
              </w:rPr>
              <w:t>2</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4.53</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3.60</w:t>
            </w:r>
          </w:p>
        </w:tc>
        <w:tc>
          <w:tcPr>
            <w:tcW w:w="408" w:type="pct"/>
          </w:tcPr>
          <w:p>
            <w:pPr>
              <w:spacing w:line="240" w:lineRule="auto"/>
              <w:ind w:firstLine="0" w:firstLineChars="0"/>
              <w:jc w:val="center"/>
              <w:rPr>
                <w:color w:val="auto"/>
                <w:sz w:val="24"/>
                <w:highlight w:val="none"/>
              </w:rPr>
            </w:pPr>
            <w:r>
              <w:rPr>
                <w:color w:val="auto"/>
                <w:highlight w:val="none"/>
              </w:rPr>
              <w:t>2.88</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产品</w:t>
            </w:r>
            <w:r>
              <w:rPr>
                <w:color w:val="auto"/>
                <w:sz w:val="24"/>
                <w:highlight w:val="none"/>
              </w:rPr>
              <w:t>规格</w:t>
            </w:r>
          </w:p>
          <w:p>
            <w:pPr>
              <w:spacing w:line="240" w:lineRule="auto"/>
              <w:ind w:firstLine="0" w:firstLineChars="0"/>
              <w:jc w:val="center"/>
              <w:rPr>
                <w:color w:val="auto"/>
                <w:sz w:val="24"/>
                <w:highlight w:val="none"/>
              </w:rPr>
            </w:pPr>
            <w:r>
              <w:rPr>
                <w:rFonts w:hint="eastAsia"/>
                <w:color w:val="auto"/>
                <w:sz w:val="24"/>
                <w:highlight w:val="none"/>
              </w:rPr>
              <w:t>（mm）</w:t>
            </w: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《玻璃和铸石单位产品能源消耗限额》（GB 21340-2019）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4.69</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3.76</w:t>
            </w:r>
          </w:p>
        </w:tc>
        <w:tc>
          <w:tcPr>
            <w:tcW w:w="408" w:type="pct"/>
          </w:tcPr>
          <w:p>
            <w:pPr>
              <w:spacing w:line="240" w:lineRule="auto"/>
              <w:ind w:firstLine="0" w:firstLineChars="0"/>
              <w:jc w:val="center"/>
              <w:rPr>
                <w:color w:val="auto"/>
                <w:sz w:val="24"/>
                <w:highlight w:val="none"/>
              </w:rPr>
            </w:pPr>
            <w:r>
              <w:rPr>
                <w:color w:val="auto"/>
                <w:highlight w:val="none"/>
              </w:rPr>
              <w:t>3.01</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5.21</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4.32</w:t>
            </w:r>
          </w:p>
        </w:tc>
        <w:tc>
          <w:tcPr>
            <w:tcW w:w="408" w:type="pct"/>
          </w:tcPr>
          <w:p>
            <w:pPr>
              <w:spacing w:line="240" w:lineRule="auto"/>
              <w:ind w:firstLine="0" w:firstLineChars="0"/>
              <w:jc w:val="center"/>
              <w:rPr>
                <w:color w:val="auto"/>
                <w:sz w:val="24"/>
                <w:highlight w:val="none"/>
              </w:rPr>
            </w:pPr>
            <w:r>
              <w:rPr>
                <w:color w:val="auto"/>
                <w:highlight w:val="none"/>
              </w:rPr>
              <w:t>3.46</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5.75</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5.27</w:t>
            </w:r>
          </w:p>
        </w:tc>
        <w:tc>
          <w:tcPr>
            <w:tcW w:w="408" w:type="pct"/>
          </w:tcPr>
          <w:p>
            <w:pPr>
              <w:spacing w:line="240" w:lineRule="auto"/>
              <w:ind w:firstLine="0" w:firstLineChars="0"/>
              <w:jc w:val="center"/>
              <w:rPr>
                <w:color w:val="auto"/>
                <w:sz w:val="24"/>
                <w:highlight w:val="none"/>
              </w:rPr>
            </w:pPr>
            <w:r>
              <w:rPr>
                <w:color w:val="auto"/>
                <w:highlight w:val="none"/>
              </w:rPr>
              <w:t>4.22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6</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7.75</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6.55</w:t>
            </w:r>
          </w:p>
        </w:tc>
        <w:tc>
          <w:tcPr>
            <w:tcW w:w="408" w:type="pct"/>
          </w:tcPr>
          <w:p>
            <w:pPr>
              <w:spacing w:line="240" w:lineRule="auto"/>
              <w:ind w:firstLine="0" w:firstLineChars="0"/>
              <w:jc w:val="center"/>
              <w:rPr>
                <w:color w:val="auto"/>
                <w:sz w:val="24"/>
                <w:highlight w:val="none"/>
              </w:rPr>
            </w:pPr>
            <w:r>
              <w:rPr>
                <w:color w:val="auto"/>
                <w:highlight w:val="none"/>
              </w:rPr>
              <w:t>5.24</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8</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9.73</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8.82</w:t>
            </w:r>
          </w:p>
        </w:tc>
        <w:tc>
          <w:tcPr>
            <w:tcW w:w="408" w:type="pct"/>
          </w:tcPr>
          <w:p>
            <w:pPr>
              <w:spacing w:line="240" w:lineRule="auto"/>
              <w:ind w:firstLine="0" w:firstLineChars="0"/>
              <w:jc w:val="center"/>
              <w:rPr>
                <w:color w:val="auto"/>
                <w:sz w:val="24"/>
                <w:highlight w:val="none"/>
              </w:rPr>
            </w:pPr>
            <w:r>
              <w:rPr>
                <w:color w:val="auto"/>
                <w:highlight w:val="none"/>
              </w:rPr>
              <w:t>7.05</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11.15</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9.80</w:t>
            </w:r>
          </w:p>
        </w:tc>
        <w:tc>
          <w:tcPr>
            <w:tcW w:w="408" w:type="pct"/>
          </w:tcPr>
          <w:p>
            <w:pPr>
              <w:spacing w:line="240" w:lineRule="auto"/>
              <w:ind w:firstLine="0" w:firstLineChars="0"/>
              <w:jc w:val="center"/>
              <w:rPr>
                <w:color w:val="auto"/>
                <w:sz w:val="24"/>
                <w:highlight w:val="none"/>
              </w:rPr>
            </w:pPr>
            <w:r>
              <w:rPr>
                <w:color w:val="auto"/>
                <w:highlight w:val="none"/>
              </w:rPr>
              <w:t>7.83</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12</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13.11</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11.76</w:t>
            </w:r>
          </w:p>
        </w:tc>
        <w:tc>
          <w:tcPr>
            <w:tcW w:w="408" w:type="pct"/>
          </w:tcPr>
          <w:p>
            <w:pPr>
              <w:spacing w:line="240" w:lineRule="auto"/>
              <w:ind w:firstLine="0" w:firstLineChars="0"/>
              <w:jc w:val="center"/>
              <w:rPr>
                <w:color w:val="auto"/>
                <w:sz w:val="24"/>
                <w:highlight w:val="none"/>
              </w:rPr>
            </w:pPr>
            <w:r>
              <w:rPr>
                <w:color w:val="auto"/>
                <w:highlight w:val="none"/>
              </w:rPr>
              <w:t>9.41</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18.63</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16.99</w:t>
            </w:r>
          </w:p>
        </w:tc>
        <w:tc>
          <w:tcPr>
            <w:tcW w:w="408" w:type="pct"/>
          </w:tcPr>
          <w:p>
            <w:pPr>
              <w:spacing w:line="240" w:lineRule="auto"/>
              <w:ind w:firstLine="0" w:firstLineChars="0"/>
              <w:jc w:val="center"/>
              <w:rPr>
                <w:color w:val="auto"/>
                <w:sz w:val="24"/>
                <w:highlight w:val="none"/>
              </w:rPr>
            </w:pPr>
            <w:r>
              <w:rPr>
                <w:color w:val="auto"/>
                <w:highlight w:val="none"/>
              </w:rPr>
              <w:t>13.60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19</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5</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曲面低辐射镀膜钢化玻璃</w:t>
            </w:r>
          </w:p>
        </w:tc>
        <w:tc>
          <w:tcPr>
            <w:tcW w:w="79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单位</w:t>
            </w:r>
            <w:r>
              <w:rPr>
                <w:color w:val="auto"/>
                <w:sz w:val="24"/>
                <w:szCs w:val="24"/>
                <w:highlight w:val="none"/>
              </w:rPr>
              <w:t>产品</w:t>
            </w:r>
            <w:r>
              <w:rPr>
                <w:rFonts w:hint="eastAsia"/>
                <w:color w:val="auto"/>
                <w:sz w:val="24"/>
                <w:szCs w:val="24"/>
                <w:highlight w:val="none"/>
              </w:rPr>
              <w:t>电耗</w:t>
            </w:r>
          </w:p>
          <w:p>
            <w:pPr>
              <w:spacing w:line="240" w:lineRule="auto"/>
              <w:ind w:firstLine="0" w:firstLineChars="0"/>
              <w:jc w:val="center"/>
              <w:rPr>
                <w:color w:val="auto"/>
                <w:sz w:val="24"/>
                <w:highlight w:val="none"/>
              </w:rPr>
            </w:pPr>
            <w:r>
              <w:rPr>
                <w:rFonts w:hint="eastAsia"/>
                <w:color w:val="auto"/>
                <w:sz w:val="24"/>
                <w:szCs w:val="24"/>
                <w:highlight w:val="none"/>
              </w:rPr>
              <w:t>（</w:t>
            </w:r>
            <w:r>
              <w:rPr>
                <w:color w:val="auto"/>
                <w:sz w:val="24"/>
                <w:szCs w:val="24"/>
                <w:highlight w:val="none"/>
              </w:rPr>
              <w:t>kW·h/m</w:t>
            </w:r>
            <w:r>
              <w:rPr>
                <w:color w:val="auto"/>
                <w:sz w:val="24"/>
                <w:szCs w:val="24"/>
                <w:highlight w:val="none"/>
                <w:vertAlign w:val="superscript"/>
              </w:rPr>
              <w:t>2</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5.51</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4.46</w:t>
            </w:r>
          </w:p>
        </w:tc>
        <w:tc>
          <w:tcPr>
            <w:tcW w:w="408" w:type="pct"/>
          </w:tcPr>
          <w:p>
            <w:pPr>
              <w:spacing w:line="240" w:lineRule="auto"/>
              <w:ind w:firstLine="0" w:firstLineChars="0"/>
              <w:jc w:val="center"/>
              <w:rPr>
                <w:color w:val="auto"/>
                <w:sz w:val="24"/>
                <w:highlight w:val="none"/>
              </w:rPr>
            </w:pPr>
            <w:r>
              <w:rPr>
                <w:color w:val="auto"/>
                <w:highlight w:val="none"/>
              </w:rPr>
              <w:t>3.56</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产品</w:t>
            </w:r>
            <w:r>
              <w:rPr>
                <w:color w:val="auto"/>
                <w:sz w:val="24"/>
                <w:highlight w:val="none"/>
              </w:rPr>
              <w:t>规格</w:t>
            </w:r>
          </w:p>
          <w:p>
            <w:pPr>
              <w:spacing w:line="240" w:lineRule="auto"/>
              <w:ind w:firstLine="0" w:firstLineChars="0"/>
              <w:jc w:val="center"/>
              <w:rPr>
                <w:color w:val="auto"/>
                <w:sz w:val="24"/>
                <w:highlight w:val="none"/>
              </w:rPr>
            </w:pPr>
            <w:r>
              <w:rPr>
                <w:rFonts w:hint="eastAsia"/>
                <w:color w:val="auto"/>
                <w:sz w:val="24"/>
                <w:highlight w:val="none"/>
              </w:rPr>
              <w:t>（mm）</w:t>
            </w: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《玻璃和铸石单位产品能源消耗限额》（GB 21340-2019）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5.80</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4.65</w:t>
            </w:r>
          </w:p>
        </w:tc>
        <w:tc>
          <w:tcPr>
            <w:tcW w:w="408" w:type="pct"/>
          </w:tcPr>
          <w:p>
            <w:pPr>
              <w:spacing w:line="240" w:lineRule="auto"/>
              <w:ind w:firstLine="0" w:firstLineChars="0"/>
              <w:jc w:val="center"/>
              <w:rPr>
                <w:color w:val="auto"/>
                <w:sz w:val="24"/>
                <w:highlight w:val="none"/>
              </w:rPr>
            </w:pPr>
            <w:r>
              <w:rPr>
                <w:color w:val="auto"/>
                <w:highlight w:val="none"/>
              </w:rPr>
              <w:t>3.73</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6.45</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5.35</w:t>
            </w:r>
          </w:p>
        </w:tc>
        <w:tc>
          <w:tcPr>
            <w:tcW w:w="408" w:type="pct"/>
          </w:tcPr>
          <w:p>
            <w:pPr>
              <w:spacing w:line="240" w:lineRule="auto"/>
              <w:ind w:firstLine="0" w:firstLineChars="0"/>
              <w:jc w:val="center"/>
              <w:rPr>
                <w:color w:val="auto"/>
                <w:sz w:val="24"/>
                <w:highlight w:val="none"/>
              </w:rPr>
            </w:pPr>
            <w:r>
              <w:rPr>
                <w:color w:val="auto"/>
                <w:highlight w:val="none"/>
              </w:rPr>
              <w:t>4.28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7.11</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6.51</w:t>
            </w:r>
          </w:p>
        </w:tc>
        <w:tc>
          <w:tcPr>
            <w:tcW w:w="408" w:type="pct"/>
          </w:tcPr>
          <w:p>
            <w:pPr>
              <w:spacing w:line="240" w:lineRule="auto"/>
              <w:ind w:firstLine="0" w:firstLineChars="0"/>
              <w:jc w:val="center"/>
              <w:rPr>
                <w:color w:val="auto"/>
                <w:sz w:val="24"/>
                <w:highlight w:val="none"/>
              </w:rPr>
            </w:pPr>
            <w:r>
              <w:rPr>
                <w:color w:val="auto"/>
                <w:highlight w:val="none"/>
              </w:rPr>
              <w:t>5.22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6</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9.64</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8.1</w:t>
            </w:r>
          </w:p>
        </w:tc>
        <w:tc>
          <w:tcPr>
            <w:tcW w:w="408" w:type="pct"/>
          </w:tcPr>
          <w:p>
            <w:pPr>
              <w:spacing w:line="240" w:lineRule="auto"/>
              <w:ind w:firstLine="0" w:firstLineChars="0"/>
              <w:jc w:val="center"/>
              <w:rPr>
                <w:color w:val="auto"/>
                <w:sz w:val="24"/>
                <w:highlight w:val="none"/>
              </w:rPr>
            </w:pPr>
            <w:r>
              <w:rPr>
                <w:color w:val="auto"/>
                <w:highlight w:val="none"/>
              </w:rPr>
              <w:t>6.48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8</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12.04</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10.9</w:t>
            </w:r>
          </w:p>
        </w:tc>
        <w:tc>
          <w:tcPr>
            <w:tcW w:w="408" w:type="pct"/>
          </w:tcPr>
          <w:p>
            <w:pPr>
              <w:spacing w:line="240" w:lineRule="auto"/>
              <w:ind w:firstLine="0" w:firstLineChars="0"/>
              <w:jc w:val="center"/>
              <w:rPr>
                <w:color w:val="auto"/>
                <w:sz w:val="24"/>
                <w:highlight w:val="none"/>
              </w:rPr>
            </w:pPr>
            <w:r>
              <w:rPr>
                <w:color w:val="auto"/>
                <w:highlight w:val="none"/>
              </w:rPr>
              <w:t>8.72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13.79</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12.12</w:t>
            </w:r>
          </w:p>
        </w:tc>
        <w:tc>
          <w:tcPr>
            <w:tcW w:w="408" w:type="pct"/>
          </w:tcPr>
          <w:p>
            <w:pPr>
              <w:spacing w:line="240" w:lineRule="auto"/>
              <w:ind w:firstLine="0" w:firstLineChars="0"/>
              <w:jc w:val="center"/>
              <w:rPr>
                <w:color w:val="auto"/>
                <w:sz w:val="24"/>
                <w:highlight w:val="none"/>
              </w:rPr>
            </w:pPr>
            <w:r>
              <w:rPr>
                <w:color w:val="auto"/>
                <w:highlight w:val="none"/>
              </w:rPr>
              <w:t>9.69</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12</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16.22</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14.55</w:t>
            </w:r>
          </w:p>
        </w:tc>
        <w:tc>
          <w:tcPr>
            <w:tcW w:w="408" w:type="pct"/>
          </w:tcPr>
          <w:p>
            <w:pPr>
              <w:spacing w:line="240" w:lineRule="auto"/>
              <w:ind w:firstLine="0" w:firstLineChars="0"/>
              <w:jc w:val="center"/>
              <w:rPr>
                <w:color w:val="auto"/>
                <w:sz w:val="24"/>
                <w:highlight w:val="none"/>
              </w:rPr>
            </w:pPr>
            <w:r>
              <w:rPr>
                <w:color w:val="auto"/>
                <w:highlight w:val="none"/>
              </w:rPr>
              <w:t>11.63</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23.04</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21.01</w:t>
            </w:r>
          </w:p>
        </w:tc>
        <w:tc>
          <w:tcPr>
            <w:tcW w:w="408" w:type="pct"/>
          </w:tcPr>
          <w:p>
            <w:pPr>
              <w:spacing w:line="240" w:lineRule="auto"/>
              <w:ind w:firstLine="0" w:firstLineChars="0"/>
              <w:jc w:val="center"/>
              <w:rPr>
                <w:color w:val="auto"/>
                <w:sz w:val="24"/>
                <w:highlight w:val="none"/>
              </w:rPr>
            </w:pPr>
            <w:r>
              <w:rPr>
                <w:color w:val="auto"/>
                <w:highlight w:val="none"/>
              </w:rPr>
              <w:t>16.32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19</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6</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夹层</w:t>
            </w:r>
            <w:r>
              <w:rPr>
                <w:color w:val="auto"/>
                <w:sz w:val="24"/>
                <w:highlight w:val="none"/>
              </w:rPr>
              <w:t>玻璃</w:t>
            </w:r>
          </w:p>
        </w:tc>
        <w:tc>
          <w:tcPr>
            <w:tcW w:w="792" w:type="pct"/>
            <w:vAlign w:val="center"/>
          </w:tcPr>
          <w:p>
            <w:pPr>
              <w:spacing w:line="240" w:lineRule="auto"/>
              <w:ind w:firstLine="0" w:firstLineChars="0"/>
              <w:jc w:val="center"/>
              <w:rPr>
                <w:color w:val="auto"/>
                <w:spacing w:val="-20"/>
                <w:sz w:val="24"/>
                <w:szCs w:val="24"/>
                <w:highlight w:val="none"/>
              </w:rPr>
            </w:pPr>
            <w:r>
              <w:rPr>
                <w:rFonts w:hint="eastAsia"/>
                <w:color w:val="auto"/>
                <w:spacing w:val="-20"/>
                <w:sz w:val="24"/>
                <w:szCs w:val="24"/>
                <w:highlight w:val="none"/>
              </w:rPr>
              <w:t>单位</w:t>
            </w:r>
            <w:r>
              <w:rPr>
                <w:color w:val="auto"/>
                <w:spacing w:val="-20"/>
                <w:sz w:val="24"/>
                <w:szCs w:val="24"/>
                <w:highlight w:val="none"/>
              </w:rPr>
              <w:t>产品</w:t>
            </w:r>
            <w:r>
              <w:rPr>
                <w:rFonts w:hint="eastAsia"/>
                <w:color w:val="auto"/>
                <w:spacing w:val="-20"/>
                <w:sz w:val="24"/>
                <w:szCs w:val="24"/>
                <w:highlight w:val="none"/>
              </w:rPr>
              <w:t>电耗（</w:t>
            </w:r>
            <w:r>
              <w:rPr>
                <w:color w:val="auto"/>
                <w:spacing w:val="-20"/>
                <w:sz w:val="24"/>
                <w:szCs w:val="24"/>
                <w:highlight w:val="none"/>
              </w:rPr>
              <w:t>kW·h/m</w:t>
            </w:r>
            <w:r>
              <w:rPr>
                <w:color w:val="auto"/>
                <w:spacing w:val="-20"/>
                <w:sz w:val="24"/>
                <w:szCs w:val="24"/>
                <w:highlight w:val="none"/>
                <w:vertAlign w:val="superscript"/>
              </w:rPr>
              <w:t>2</w:t>
            </w:r>
            <w:r>
              <w:rPr>
                <w:rFonts w:hint="eastAsia"/>
                <w:color w:val="auto"/>
                <w:spacing w:val="-20"/>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w:t>
            </w:r>
          </w:p>
        </w:tc>
        <w:tc>
          <w:tcPr>
            <w:tcW w:w="1044" w:type="pct"/>
            <w:vAlign w:val="center"/>
          </w:tcPr>
          <w:p>
            <w:pPr>
              <w:spacing w:line="240" w:lineRule="auto"/>
              <w:ind w:firstLine="0" w:firstLineChars="0"/>
              <w:jc w:val="center"/>
              <w:rPr>
                <w:color w:val="auto"/>
                <w:sz w:val="24"/>
                <w:highlight w:val="none"/>
              </w:rPr>
            </w:pPr>
            <w:r>
              <w:rPr>
                <w:rFonts w:hint="eastAsia"/>
                <w:color w:val="auto"/>
                <w:sz w:val="24"/>
                <w:highlight w:val="none"/>
              </w:rPr>
              <w:t>《绿色产品评价建筑玻璃》（GB/T 35604-2017）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7</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预拌混凝土</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生产</w:t>
            </w:r>
            <w:r>
              <w:rPr>
                <w:color w:val="auto"/>
                <w:sz w:val="24"/>
                <w:highlight w:val="none"/>
              </w:rPr>
              <w:t>能耗</w:t>
            </w:r>
            <w:r>
              <w:rPr>
                <w:rFonts w:hint="eastAsia"/>
                <w:color w:val="auto"/>
                <w:sz w:val="24"/>
                <w:highlight w:val="none"/>
              </w:rPr>
              <w:t>（kgce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0.70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0.30</w:t>
            </w:r>
          </w:p>
        </w:tc>
        <w:tc>
          <w:tcPr>
            <w:tcW w:w="1057" w:type="pct"/>
            <w:gridSpan w:val="2"/>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《预拌混凝土单位产品能源消耗限额》（</w:t>
            </w:r>
            <w:r>
              <w:rPr>
                <w:color w:val="auto"/>
                <w:sz w:val="24"/>
                <w:highlight w:val="none"/>
              </w:rPr>
              <w:t>GB 36888-2018</w:t>
            </w:r>
            <w:r>
              <w:rPr>
                <w:rFonts w:hint="eastAsia"/>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8</w:t>
            </w:r>
          </w:p>
        </w:tc>
        <w:tc>
          <w:tcPr>
            <w:tcW w:w="627" w:type="pct"/>
            <w:vMerge w:val="continue"/>
            <w:vAlign w:val="center"/>
          </w:tcPr>
          <w:p>
            <w:pPr>
              <w:spacing w:line="240" w:lineRule="auto"/>
              <w:ind w:firstLine="0" w:firstLineChars="0"/>
              <w:jc w:val="center"/>
              <w:rPr>
                <w:color w:val="auto"/>
                <w:sz w:val="24"/>
                <w:highlight w:val="none"/>
              </w:rPr>
            </w:pP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运输</w:t>
            </w:r>
            <w:r>
              <w:rPr>
                <w:color w:val="auto"/>
                <w:sz w:val="24"/>
                <w:highlight w:val="none"/>
              </w:rPr>
              <w:t>能耗</w:t>
            </w:r>
            <w:r>
              <w:rPr>
                <w:rFonts w:hint="eastAsia"/>
                <w:color w:val="auto"/>
                <w:sz w:val="24"/>
                <w:highlight w:val="none"/>
              </w:rPr>
              <w:t>（kgce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2.90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2.65</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1.85</w:t>
            </w:r>
          </w:p>
        </w:tc>
        <w:tc>
          <w:tcPr>
            <w:tcW w:w="1057" w:type="pct"/>
            <w:gridSpan w:val="2"/>
            <w:vMerge w:val="continue"/>
            <w:vAlign w:val="center"/>
          </w:tcPr>
          <w:p>
            <w:pPr>
              <w:spacing w:line="240" w:lineRule="auto"/>
              <w:ind w:firstLine="0" w:firstLineChars="0"/>
              <w:jc w:val="center"/>
              <w:rPr>
                <w:color w:val="auto"/>
                <w:sz w:val="24"/>
                <w:szCs w:val="24"/>
                <w:highlight w:val="none"/>
              </w:rPr>
            </w:pP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9</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预制</w:t>
            </w:r>
            <w:r>
              <w:rPr>
                <w:color w:val="auto"/>
                <w:sz w:val="24"/>
                <w:highlight w:val="none"/>
              </w:rPr>
              <w:t>混凝土桩</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56.6</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38.3</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32.3</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《水泥制品单位产品能源消耗限额》（</w:t>
            </w:r>
            <w:r>
              <w:rPr>
                <w:color w:val="auto"/>
                <w:sz w:val="24"/>
                <w:highlight w:val="none"/>
              </w:rPr>
              <w:t>GB 38263-2019</w:t>
            </w:r>
            <w:r>
              <w:rPr>
                <w:rFonts w:hint="eastAsia"/>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10</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环形</w:t>
            </w:r>
            <w:r>
              <w:rPr>
                <w:color w:val="auto"/>
                <w:sz w:val="24"/>
                <w:highlight w:val="none"/>
              </w:rPr>
              <w:t>混凝土电杆</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72.2</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48.5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40.4</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11</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混凝土</w:t>
            </w:r>
            <w:r>
              <w:rPr>
                <w:color w:val="auto"/>
                <w:sz w:val="24"/>
                <w:highlight w:val="none"/>
              </w:rPr>
              <w:t>和钢筋混凝土</w:t>
            </w:r>
            <w:r>
              <w:rPr>
                <w:rFonts w:hint="eastAsia"/>
                <w:color w:val="auto"/>
                <w:sz w:val="24"/>
                <w:highlight w:val="none"/>
              </w:rPr>
              <w:t>排水</w:t>
            </w:r>
            <w:r>
              <w:rPr>
                <w:color w:val="auto"/>
                <w:sz w:val="24"/>
                <w:highlight w:val="none"/>
              </w:rPr>
              <w:t>管</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49.5</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33.0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27.5</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12</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预应力钢</w:t>
            </w:r>
            <w:r>
              <w:rPr>
                <w:color w:val="auto"/>
                <w:sz w:val="24"/>
                <w:highlight w:val="none"/>
              </w:rPr>
              <w:t>筒混凝</w:t>
            </w:r>
            <w:r>
              <w:rPr>
                <w:rFonts w:hint="eastAsia"/>
                <w:color w:val="auto"/>
                <w:sz w:val="24"/>
                <w:highlight w:val="none"/>
              </w:rPr>
              <w:t>土</w:t>
            </w:r>
            <w:r>
              <w:rPr>
                <w:color w:val="auto"/>
                <w:sz w:val="24"/>
                <w:highlight w:val="none"/>
              </w:rPr>
              <w:t>管</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66.4</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45.0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37.5</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13</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加气</w:t>
            </w:r>
            <w:r>
              <w:rPr>
                <w:color w:val="auto"/>
                <w:sz w:val="24"/>
                <w:highlight w:val="none"/>
              </w:rPr>
              <w:t>混凝土</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37.3</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25.2</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21.0</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14</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硅酸钙板</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131.0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93.0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77.5</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15</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预制</w:t>
            </w:r>
            <w:r>
              <w:rPr>
                <w:color w:val="auto"/>
                <w:sz w:val="24"/>
                <w:highlight w:val="none"/>
              </w:rPr>
              <w:t>混凝土衬</w:t>
            </w:r>
            <w:r>
              <w:rPr>
                <w:rFonts w:hint="eastAsia"/>
                <w:color w:val="auto"/>
                <w:sz w:val="24"/>
                <w:highlight w:val="none"/>
              </w:rPr>
              <w:t>砌管片</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21.0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15.0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12.5</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color w:val="auto"/>
                <w:sz w:val="24"/>
                <w:highlight w:val="none"/>
              </w:rPr>
              <w:t>16</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碳酸饮料</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20</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15</w:t>
            </w:r>
          </w:p>
        </w:tc>
        <w:tc>
          <w:tcPr>
            <w:tcW w:w="408" w:type="pct"/>
            <w:vAlign w:val="center"/>
          </w:tcPr>
          <w:p>
            <w:pPr>
              <w:spacing w:line="240" w:lineRule="auto"/>
              <w:ind w:firstLine="0" w:firstLineChars="0"/>
              <w:jc w:val="center"/>
              <w:rPr>
                <w:color w:val="auto"/>
                <w:sz w:val="21"/>
                <w:highlight w:val="none"/>
              </w:rPr>
            </w:pPr>
            <w:r>
              <w:rPr>
                <w:rFonts w:hint="eastAsia"/>
                <w:color w:val="auto"/>
                <w:sz w:val="21"/>
                <w:highlight w:val="none"/>
              </w:rPr>
              <w:t>9</w:t>
            </w:r>
          </w:p>
        </w:tc>
        <w:tc>
          <w:tcPr>
            <w:tcW w:w="1057" w:type="pct"/>
            <w:gridSpan w:val="2"/>
            <w:vAlign w:val="center"/>
          </w:tcPr>
          <w:p>
            <w:pPr>
              <w:spacing w:line="240" w:lineRule="auto"/>
              <w:ind w:firstLine="0" w:firstLineChars="0"/>
              <w:rPr>
                <w:color w:val="auto"/>
                <w:sz w:val="22"/>
                <w:highlight w:val="none"/>
              </w:rPr>
            </w:pPr>
            <w:r>
              <w:rPr>
                <w:rFonts w:hint="eastAsia"/>
                <w:color w:val="auto"/>
                <w:sz w:val="22"/>
                <w:highlight w:val="none"/>
              </w:rPr>
              <w:t>调节系数：自制PET瓶2；外购PET瓶坯，自吹瓶1.6；回收玻璃瓶3</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《饮料制造综合能耗限额》（QBT 4069-2010）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7</w:t>
            </w:r>
          </w:p>
        </w:tc>
        <w:tc>
          <w:tcPr>
            <w:tcW w:w="627"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包装</w:t>
            </w:r>
            <w:r>
              <w:rPr>
                <w:color w:val="auto"/>
                <w:sz w:val="24"/>
                <w:szCs w:val="24"/>
                <w:highlight w:val="none"/>
              </w:rPr>
              <w:t>饮用水</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w:t>
            </w:r>
          </w:p>
        </w:tc>
        <w:tc>
          <w:tcPr>
            <w:tcW w:w="408" w:type="pct"/>
            <w:vAlign w:val="center"/>
          </w:tcPr>
          <w:p>
            <w:pPr>
              <w:spacing w:line="240" w:lineRule="auto"/>
              <w:ind w:firstLine="0" w:firstLineChars="0"/>
              <w:jc w:val="center"/>
              <w:rPr>
                <w:color w:val="auto"/>
                <w:sz w:val="24"/>
                <w:highlight w:val="none"/>
              </w:rPr>
            </w:pPr>
            <w:r>
              <w:rPr>
                <w:color w:val="auto"/>
                <w:sz w:val="24"/>
                <w:szCs w:val="24"/>
                <w:highlight w:val="none"/>
              </w:rPr>
              <w:t>5</w:t>
            </w:r>
          </w:p>
        </w:tc>
        <w:tc>
          <w:tcPr>
            <w:tcW w:w="408" w:type="pct"/>
            <w:vAlign w:val="center"/>
          </w:tcPr>
          <w:p>
            <w:pPr>
              <w:spacing w:line="240" w:lineRule="auto"/>
              <w:ind w:firstLine="0" w:firstLineChars="0"/>
              <w:jc w:val="center"/>
              <w:rPr>
                <w:color w:val="auto"/>
                <w:sz w:val="21"/>
                <w:highlight w:val="none"/>
              </w:rPr>
            </w:pPr>
            <w:r>
              <w:rPr>
                <w:rFonts w:hint="eastAsia"/>
                <w:color w:val="auto"/>
                <w:sz w:val="21"/>
                <w:highlight w:val="none"/>
              </w:rPr>
              <w:t>3</w:t>
            </w:r>
          </w:p>
        </w:tc>
        <w:tc>
          <w:tcPr>
            <w:tcW w:w="1057" w:type="pct"/>
            <w:gridSpan w:val="2"/>
            <w:vAlign w:val="center"/>
          </w:tcPr>
          <w:p>
            <w:pPr>
              <w:spacing w:line="240" w:lineRule="auto"/>
              <w:ind w:firstLine="0" w:firstLineChars="0"/>
              <w:rPr>
                <w:color w:val="auto"/>
                <w:sz w:val="22"/>
                <w:highlight w:val="none"/>
              </w:rPr>
            </w:pPr>
            <w:r>
              <w:rPr>
                <w:rFonts w:hint="eastAsia"/>
                <w:color w:val="auto"/>
                <w:sz w:val="22"/>
                <w:highlight w:val="none"/>
              </w:rPr>
              <w:t>调节系数</w:t>
            </w:r>
            <w:r>
              <w:rPr>
                <w:color w:val="auto"/>
                <w:sz w:val="22"/>
                <w:highlight w:val="none"/>
              </w:rPr>
              <w:t>：</w:t>
            </w:r>
            <w:r>
              <w:rPr>
                <w:rFonts w:hint="eastAsia"/>
                <w:color w:val="auto"/>
                <w:sz w:val="22"/>
                <w:highlight w:val="none"/>
              </w:rPr>
              <w:t>自制PET瓶3；外购PET瓶坯，自吹瓶2.2；桶装水0.6</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8</w:t>
            </w:r>
          </w:p>
        </w:tc>
        <w:tc>
          <w:tcPr>
            <w:tcW w:w="627" w:type="pct"/>
            <w:vAlign w:val="center"/>
          </w:tcPr>
          <w:p>
            <w:pPr>
              <w:spacing w:line="300" w:lineRule="exact"/>
              <w:ind w:firstLine="0" w:firstLineChars="0"/>
              <w:jc w:val="center"/>
              <w:rPr>
                <w:color w:val="auto"/>
                <w:sz w:val="22"/>
                <w:highlight w:val="none"/>
              </w:rPr>
            </w:pPr>
            <w:r>
              <w:rPr>
                <w:rFonts w:hint="eastAsia"/>
                <w:color w:val="auto"/>
                <w:sz w:val="22"/>
                <w:highlight w:val="none"/>
              </w:rPr>
              <w:t>茶饮料</w:t>
            </w:r>
          </w:p>
          <w:p>
            <w:pPr>
              <w:spacing w:line="300" w:lineRule="exact"/>
              <w:ind w:firstLine="0" w:firstLineChars="0"/>
              <w:jc w:val="center"/>
              <w:rPr>
                <w:color w:val="auto"/>
                <w:sz w:val="22"/>
                <w:highlight w:val="none"/>
              </w:rPr>
            </w:pPr>
            <w:r>
              <w:rPr>
                <w:rFonts w:hint="eastAsia"/>
                <w:color w:val="auto"/>
                <w:sz w:val="22"/>
                <w:highlight w:val="none"/>
              </w:rPr>
              <w:t>果蔬汁饮料</w:t>
            </w:r>
          </w:p>
          <w:p>
            <w:pPr>
              <w:spacing w:line="300" w:lineRule="exact"/>
              <w:ind w:firstLine="0" w:firstLineChars="0"/>
              <w:jc w:val="center"/>
              <w:rPr>
                <w:color w:val="auto"/>
                <w:sz w:val="22"/>
                <w:highlight w:val="none"/>
              </w:rPr>
            </w:pPr>
            <w:r>
              <w:rPr>
                <w:rFonts w:hint="eastAsia"/>
                <w:color w:val="auto"/>
                <w:sz w:val="22"/>
                <w:highlight w:val="none"/>
              </w:rPr>
              <w:t>特殊用途饮料</w:t>
            </w:r>
          </w:p>
          <w:p>
            <w:pPr>
              <w:spacing w:line="300" w:lineRule="exact"/>
              <w:ind w:firstLine="0" w:firstLineChars="0"/>
              <w:jc w:val="center"/>
              <w:rPr>
                <w:color w:val="auto"/>
                <w:sz w:val="22"/>
                <w:highlight w:val="none"/>
              </w:rPr>
            </w:pPr>
            <w:r>
              <w:rPr>
                <w:rFonts w:hint="eastAsia"/>
                <w:color w:val="auto"/>
                <w:sz w:val="22"/>
                <w:highlight w:val="none"/>
              </w:rPr>
              <w:t>风味饮料</w:t>
            </w:r>
          </w:p>
          <w:p>
            <w:pPr>
              <w:spacing w:line="300" w:lineRule="exact"/>
              <w:ind w:firstLine="0" w:firstLineChars="0"/>
              <w:jc w:val="center"/>
              <w:rPr>
                <w:color w:val="auto"/>
                <w:sz w:val="22"/>
                <w:highlight w:val="none"/>
              </w:rPr>
            </w:pPr>
            <w:r>
              <w:rPr>
                <w:rFonts w:hint="eastAsia"/>
                <w:color w:val="auto"/>
                <w:sz w:val="22"/>
                <w:highlight w:val="none"/>
              </w:rPr>
              <w:t>植物饮料</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40</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30</w:t>
            </w:r>
          </w:p>
        </w:tc>
        <w:tc>
          <w:tcPr>
            <w:tcW w:w="408" w:type="pct"/>
            <w:vAlign w:val="center"/>
          </w:tcPr>
          <w:p>
            <w:pPr>
              <w:spacing w:line="240" w:lineRule="auto"/>
              <w:ind w:firstLine="0" w:firstLineChars="0"/>
              <w:jc w:val="center"/>
              <w:rPr>
                <w:color w:val="auto"/>
                <w:sz w:val="21"/>
                <w:highlight w:val="none"/>
              </w:rPr>
            </w:pPr>
            <w:r>
              <w:rPr>
                <w:rFonts w:hint="eastAsia"/>
                <w:color w:val="auto"/>
                <w:sz w:val="21"/>
                <w:highlight w:val="none"/>
              </w:rPr>
              <w:t>20</w:t>
            </w:r>
          </w:p>
        </w:tc>
        <w:tc>
          <w:tcPr>
            <w:tcW w:w="1057" w:type="pct"/>
            <w:gridSpan w:val="2"/>
            <w:vAlign w:val="center"/>
          </w:tcPr>
          <w:p>
            <w:pPr>
              <w:spacing w:line="240" w:lineRule="auto"/>
              <w:ind w:firstLine="0" w:firstLineChars="0"/>
              <w:rPr>
                <w:color w:val="auto"/>
                <w:sz w:val="22"/>
                <w:highlight w:val="none"/>
              </w:rPr>
            </w:pPr>
            <w:r>
              <w:rPr>
                <w:rFonts w:hint="eastAsia"/>
                <w:color w:val="auto"/>
                <w:sz w:val="22"/>
                <w:highlight w:val="none"/>
              </w:rPr>
              <w:t>调节</w:t>
            </w:r>
            <w:r>
              <w:rPr>
                <w:color w:val="auto"/>
                <w:sz w:val="22"/>
                <w:highlight w:val="none"/>
              </w:rPr>
              <w:t>系数：</w:t>
            </w:r>
            <w:r>
              <w:rPr>
                <w:rFonts w:hint="eastAsia"/>
                <w:color w:val="auto"/>
                <w:sz w:val="22"/>
                <w:highlight w:val="none"/>
              </w:rPr>
              <w:t>自制PET瓶1.5；外购PET瓶坯，自吹瓶1.2；纸塑复合包装、无菌灌装0.9；采用萃取工艺1.3；采用果蔬原料直接生产2.5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9</w:t>
            </w:r>
          </w:p>
        </w:tc>
        <w:tc>
          <w:tcPr>
            <w:tcW w:w="627" w:type="pct"/>
            <w:vAlign w:val="center"/>
          </w:tcPr>
          <w:p>
            <w:pPr>
              <w:spacing w:line="300" w:lineRule="exact"/>
              <w:ind w:firstLine="0" w:firstLineChars="0"/>
              <w:jc w:val="center"/>
              <w:rPr>
                <w:color w:val="auto"/>
                <w:sz w:val="22"/>
                <w:highlight w:val="none"/>
              </w:rPr>
            </w:pPr>
            <w:r>
              <w:rPr>
                <w:rFonts w:hint="eastAsia"/>
                <w:color w:val="auto"/>
                <w:sz w:val="22"/>
                <w:highlight w:val="none"/>
              </w:rPr>
              <w:t>植物蛋白饮料</w:t>
            </w:r>
          </w:p>
          <w:p>
            <w:pPr>
              <w:spacing w:line="300" w:lineRule="exact"/>
              <w:ind w:firstLine="0" w:firstLineChars="0"/>
              <w:jc w:val="center"/>
              <w:rPr>
                <w:color w:val="auto"/>
                <w:sz w:val="22"/>
                <w:highlight w:val="none"/>
              </w:rPr>
            </w:pPr>
            <w:r>
              <w:rPr>
                <w:rFonts w:hint="eastAsia"/>
                <w:color w:val="auto"/>
                <w:sz w:val="22"/>
                <w:highlight w:val="none"/>
              </w:rPr>
              <w:t>复合蛋白饮料</w:t>
            </w:r>
          </w:p>
          <w:p>
            <w:pPr>
              <w:spacing w:line="300" w:lineRule="exact"/>
              <w:ind w:firstLine="0" w:firstLineChars="0"/>
              <w:jc w:val="center"/>
              <w:rPr>
                <w:color w:val="auto"/>
                <w:sz w:val="22"/>
                <w:highlight w:val="none"/>
              </w:rPr>
            </w:pPr>
            <w:r>
              <w:rPr>
                <w:rFonts w:hint="eastAsia"/>
                <w:color w:val="auto"/>
                <w:sz w:val="22"/>
                <w:highlight w:val="none"/>
              </w:rPr>
              <w:t>咖啡饮料</w:t>
            </w:r>
          </w:p>
          <w:p>
            <w:pPr>
              <w:spacing w:line="300" w:lineRule="exact"/>
              <w:ind w:firstLine="0" w:firstLineChars="0"/>
              <w:jc w:val="center"/>
              <w:rPr>
                <w:color w:val="auto"/>
                <w:sz w:val="22"/>
                <w:highlight w:val="none"/>
              </w:rPr>
            </w:pPr>
            <w:r>
              <w:rPr>
                <w:rFonts w:hint="eastAsia"/>
                <w:color w:val="auto"/>
                <w:sz w:val="22"/>
                <w:highlight w:val="none"/>
              </w:rPr>
              <w:t>谷物饮料</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70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60</w:t>
            </w:r>
          </w:p>
        </w:tc>
        <w:tc>
          <w:tcPr>
            <w:tcW w:w="408" w:type="pct"/>
            <w:vAlign w:val="center"/>
          </w:tcPr>
          <w:p>
            <w:pPr>
              <w:spacing w:line="240" w:lineRule="auto"/>
              <w:ind w:firstLine="0" w:firstLineChars="0"/>
              <w:jc w:val="center"/>
              <w:rPr>
                <w:color w:val="auto"/>
                <w:sz w:val="21"/>
                <w:highlight w:val="none"/>
              </w:rPr>
            </w:pPr>
            <w:r>
              <w:rPr>
                <w:rFonts w:hint="eastAsia"/>
                <w:color w:val="auto"/>
                <w:sz w:val="21"/>
                <w:highlight w:val="none"/>
              </w:rPr>
              <w:t>50</w:t>
            </w:r>
          </w:p>
        </w:tc>
        <w:tc>
          <w:tcPr>
            <w:tcW w:w="1057" w:type="pct"/>
            <w:gridSpan w:val="2"/>
            <w:vAlign w:val="center"/>
          </w:tcPr>
          <w:p>
            <w:pPr>
              <w:spacing w:line="240" w:lineRule="auto"/>
              <w:ind w:firstLine="0" w:firstLineChars="0"/>
              <w:rPr>
                <w:color w:val="auto"/>
                <w:sz w:val="22"/>
                <w:highlight w:val="none"/>
              </w:rPr>
            </w:pPr>
            <w:r>
              <w:rPr>
                <w:rFonts w:hint="eastAsia"/>
                <w:color w:val="auto"/>
                <w:sz w:val="22"/>
                <w:highlight w:val="none"/>
              </w:rPr>
              <w:t>调节</w:t>
            </w:r>
            <w:r>
              <w:rPr>
                <w:color w:val="auto"/>
                <w:sz w:val="22"/>
                <w:highlight w:val="none"/>
              </w:rPr>
              <w:t>系数：</w:t>
            </w:r>
            <w:r>
              <w:rPr>
                <w:rFonts w:hint="eastAsia"/>
                <w:color w:val="auto"/>
                <w:sz w:val="22"/>
                <w:highlight w:val="none"/>
              </w:rPr>
              <w:t>纸塑复合包装，无菌包装0.8；PET瓶外购，无菌灌装0.8；外购PET瓶坯自吹瓶、无菌灌装0.9；自制PP瓶1.1</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color w:val="auto"/>
                <w:sz w:val="24"/>
                <w:szCs w:val="24"/>
                <w:highlight w:val="none"/>
              </w:rPr>
              <w:t>20</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含乳饮料</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65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55</w:t>
            </w:r>
          </w:p>
        </w:tc>
        <w:tc>
          <w:tcPr>
            <w:tcW w:w="408" w:type="pct"/>
            <w:vAlign w:val="center"/>
          </w:tcPr>
          <w:p>
            <w:pPr>
              <w:spacing w:line="240" w:lineRule="auto"/>
              <w:ind w:firstLine="0" w:firstLineChars="0"/>
              <w:jc w:val="center"/>
              <w:rPr>
                <w:color w:val="auto"/>
                <w:sz w:val="21"/>
                <w:highlight w:val="none"/>
              </w:rPr>
            </w:pPr>
            <w:r>
              <w:rPr>
                <w:rFonts w:hint="eastAsia"/>
                <w:color w:val="auto"/>
                <w:sz w:val="21"/>
                <w:highlight w:val="none"/>
              </w:rPr>
              <w:t>45</w:t>
            </w:r>
          </w:p>
        </w:tc>
        <w:tc>
          <w:tcPr>
            <w:tcW w:w="1057" w:type="pct"/>
            <w:gridSpan w:val="2"/>
            <w:vAlign w:val="center"/>
          </w:tcPr>
          <w:p>
            <w:pPr>
              <w:spacing w:line="240" w:lineRule="auto"/>
              <w:ind w:firstLine="0" w:firstLineChars="0"/>
              <w:rPr>
                <w:color w:val="auto"/>
                <w:sz w:val="22"/>
                <w:highlight w:val="none"/>
              </w:rPr>
            </w:pPr>
            <w:r>
              <w:rPr>
                <w:rFonts w:hint="eastAsia"/>
                <w:color w:val="auto"/>
                <w:sz w:val="22"/>
                <w:highlight w:val="none"/>
              </w:rPr>
              <w:t>调节</w:t>
            </w:r>
            <w:r>
              <w:rPr>
                <w:color w:val="auto"/>
                <w:sz w:val="22"/>
                <w:highlight w:val="none"/>
              </w:rPr>
              <w:t>系数：</w:t>
            </w:r>
            <w:r>
              <w:rPr>
                <w:rFonts w:hint="eastAsia"/>
                <w:color w:val="auto"/>
                <w:sz w:val="22"/>
                <w:highlight w:val="none"/>
              </w:rPr>
              <w:t>纸塑复合包装或塑料袋，无菌包装0.8；PET瓶外购，无菌灌装0.8；外购PET瓶坯自吹瓶、无菌灌装0.9；自制HDPE瓶1.1；超洁净热灌装1.1；添加直接萃取植物成分1.1；原料为奶粉0.85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szCs w:val="24"/>
                <w:highlight w:val="none"/>
              </w:rPr>
            </w:pPr>
            <w:r>
              <w:rPr>
                <w:color w:val="auto"/>
                <w:sz w:val="24"/>
                <w:highlight w:val="none"/>
              </w:rPr>
              <w:t>21</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浓缩果蔬汁</w:t>
            </w:r>
          </w:p>
          <w:p>
            <w:pPr>
              <w:spacing w:line="240" w:lineRule="auto"/>
              <w:ind w:firstLine="0" w:firstLineChars="0"/>
              <w:jc w:val="center"/>
              <w:rPr>
                <w:color w:val="auto"/>
                <w:sz w:val="24"/>
                <w:highlight w:val="none"/>
              </w:rPr>
            </w:pPr>
            <w:r>
              <w:rPr>
                <w:rFonts w:hint="eastAsia"/>
                <w:color w:val="auto"/>
                <w:sz w:val="24"/>
                <w:highlight w:val="none"/>
              </w:rPr>
              <w:t>果蔬原浆</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600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500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400</w:t>
            </w:r>
          </w:p>
        </w:tc>
        <w:tc>
          <w:tcPr>
            <w:tcW w:w="1057" w:type="pct"/>
            <w:gridSpan w:val="2"/>
            <w:vAlign w:val="center"/>
          </w:tcPr>
          <w:p>
            <w:pPr>
              <w:spacing w:line="240" w:lineRule="auto"/>
              <w:ind w:firstLine="0" w:firstLineChars="0"/>
              <w:jc w:val="center"/>
              <w:rPr>
                <w:color w:val="auto"/>
                <w:sz w:val="21"/>
                <w:highlight w:val="none"/>
              </w:rPr>
            </w:pPr>
            <w:r>
              <w:rPr>
                <w:rFonts w:hint="eastAsia"/>
                <w:color w:val="auto"/>
                <w:sz w:val="24"/>
                <w:highlight w:val="none"/>
              </w:rPr>
              <w:t>果蔬原浆0.15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color w:val="auto"/>
                <w:sz w:val="24"/>
                <w:highlight w:val="none"/>
              </w:rPr>
              <w:t>22</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白酒</w:t>
            </w:r>
          </w:p>
        </w:tc>
        <w:tc>
          <w:tcPr>
            <w:tcW w:w="79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kl</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1250</w:t>
            </w:r>
          </w:p>
        </w:tc>
        <w:tc>
          <w:tcPr>
            <w:tcW w:w="408" w:type="pct"/>
            <w:vAlign w:val="center"/>
          </w:tcPr>
          <w:p>
            <w:pPr>
              <w:spacing w:line="240" w:lineRule="auto"/>
              <w:ind w:firstLine="0" w:firstLineChars="0"/>
              <w:jc w:val="center"/>
              <w:rPr>
                <w:color w:val="auto"/>
                <w:sz w:val="24"/>
                <w:highlight w:val="none"/>
              </w:rPr>
            </w:pPr>
            <w:r>
              <w:rPr>
                <w:color w:val="auto"/>
                <w:sz w:val="24"/>
                <w:highlight w:val="none"/>
              </w:rPr>
              <w:t>1200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1150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浓香型</w:t>
            </w:r>
          </w:p>
        </w:tc>
        <w:tc>
          <w:tcPr>
            <w:tcW w:w="1044" w:type="pct"/>
            <w:vMerge w:val="restart"/>
            <w:vAlign w:val="center"/>
          </w:tcPr>
          <w:p>
            <w:pPr>
              <w:spacing w:line="240" w:lineRule="auto"/>
              <w:ind w:firstLine="0" w:firstLineChars="0"/>
              <w:rPr>
                <w:color w:val="auto"/>
                <w:sz w:val="24"/>
                <w:highlight w:val="none"/>
              </w:rPr>
            </w:pPr>
            <w:r>
              <w:rPr>
                <w:rFonts w:hint="eastAsia"/>
                <w:color w:val="auto"/>
                <w:sz w:val="24"/>
                <w:highlight w:val="none"/>
              </w:rPr>
              <w:t>《白酒原酒单位产品综合能耗及计算方法》（</w:t>
            </w:r>
            <w:r>
              <w:rPr>
                <w:color w:val="auto"/>
                <w:sz w:val="24"/>
                <w:highlight w:val="none"/>
              </w:rPr>
              <w:t>DB43T 1018-2015</w:t>
            </w:r>
            <w:r>
              <w:rPr>
                <w:rFonts w:hint="eastAsia"/>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pacing w:val="-20"/>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1500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450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1400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馥郁香型</w:t>
            </w:r>
          </w:p>
        </w:tc>
        <w:tc>
          <w:tcPr>
            <w:tcW w:w="1044" w:type="pct"/>
            <w:vMerge w:val="continue"/>
            <w:vAlign w:val="center"/>
          </w:tcPr>
          <w:p>
            <w:pPr>
              <w:spacing w:line="240" w:lineRule="auto"/>
              <w:ind w:firstLine="48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1800</w:t>
            </w:r>
          </w:p>
        </w:tc>
        <w:tc>
          <w:tcPr>
            <w:tcW w:w="408" w:type="pct"/>
            <w:vAlign w:val="center"/>
          </w:tcPr>
          <w:p>
            <w:pPr>
              <w:spacing w:line="240" w:lineRule="auto"/>
              <w:ind w:firstLine="0" w:firstLineChars="0"/>
              <w:jc w:val="center"/>
              <w:rPr>
                <w:color w:val="auto"/>
                <w:sz w:val="24"/>
                <w:highlight w:val="none"/>
              </w:rPr>
            </w:pPr>
            <w:r>
              <w:rPr>
                <w:color w:val="auto"/>
                <w:sz w:val="24"/>
                <w:highlight w:val="none"/>
              </w:rPr>
              <w:t>1750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1700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酱香型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color w:val="auto"/>
                <w:sz w:val="24"/>
                <w:szCs w:val="24"/>
                <w:highlight w:val="none"/>
              </w:rPr>
              <w:t>23</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热电联产</w:t>
            </w:r>
          </w:p>
        </w:tc>
        <w:tc>
          <w:tcPr>
            <w:tcW w:w="79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供电煤耗（gce</w:t>
            </w:r>
            <w:r>
              <w:rPr>
                <w:color w:val="auto"/>
                <w:sz w:val="24"/>
                <w:highlight w:val="none"/>
              </w:rPr>
              <w:t>/kW·h</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299</w:t>
            </w:r>
          </w:p>
        </w:tc>
        <w:tc>
          <w:tcPr>
            <w:tcW w:w="408"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280</w:t>
            </w:r>
          </w:p>
        </w:tc>
        <w:tc>
          <w:tcPr>
            <w:tcW w:w="408"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270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超临界</w:t>
            </w:r>
            <w:r>
              <w:rPr>
                <w:color w:val="auto"/>
                <w:sz w:val="24"/>
                <w:highlight w:val="none"/>
              </w:rPr>
              <w:t>及以上</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《热电联产单位产品能源消耗限额》（</w:t>
            </w:r>
            <w:r>
              <w:rPr>
                <w:color w:val="auto"/>
                <w:sz w:val="24"/>
                <w:highlight w:val="none"/>
              </w:rPr>
              <w:t>GB 35574-2017</w:t>
            </w:r>
            <w:r>
              <w:rPr>
                <w:rFonts w:hint="eastAsia"/>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307</w:t>
            </w:r>
          </w:p>
        </w:tc>
        <w:tc>
          <w:tcPr>
            <w:tcW w:w="408" w:type="pct"/>
            <w:vMerge w:val="continue"/>
            <w:vAlign w:val="center"/>
          </w:tcPr>
          <w:p>
            <w:pPr>
              <w:spacing w:line="240" w:lineRule="auto"/>
              <w:ind w:firstLine="0" w:firstLineChars="0"/>
              <w:jc w:val="center"/>
              <w:rPr>
                <w:color w:val="auto"/>
                <w:sz w:val="24"/>
                <w:highlight w:val="none"/>
              </w:rPr>
            </w:pPr>
          </w:p>
        </w:tc>
        <w:tc>
          <w:tcPr>
            <w:tcW w:w="408" w:type="pct"/>
            <w:vMerge w:val="continue"/>
            <w:vAlign w:val="center"/>
          </w:tcPr>
          <w:p>
            <w:pPr>
              <w:spacing w:line="240" w:lineRule="auto"/>
              <w:ind w:firstLine="0" w:firstLineChars="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亚</w:t>
            </w:r>
            <w:r>
              <w:rPr>
                <w:color w:val="auto"/>
                <w:sz w:val="24"/>
                <w:highlight w:val="none"/>
              </w:rPr>
              <w:t>临界</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316</w:t>
            </w:r>
          </w:p>
        </w:tc>
        <w:tc>
          <w:tcPr>
            <w:tcW w:w="408" w:type="pct"/>
            <w:vMerge w:val="continue"/>
            <w:vAlign w:val="center"/>
          </w:tcPr>
          <w:p>
            <w:pPr>
              <w:spacing w:line="240" w:lineRule="auto"/>
              <w:ind w:firstLine="0" w:firstLineChars="0"/>
              <w:jc w:val="center"/>
              <w:rPr>
                <w:color w:val="auto"/>
                <w:sz w:val="24"/>
                <w:highlight w:val="none"/>
              </w:rPr>
            </w:pPr>
          </w:p>
        </w:tc>
        <w:tc>
          <w:tcPr>
            <w:tcW w:w="408" w:type="pct"/>
            <w:vMerge w:val="continue"/>
            <w:vAlign w:val="center"/>
          </w:tcPr>
          <w:p>
            <w:pPr>
              <w:spacing w:line="240" w:lineRule="auto"/>
              <w:ind w:firstLine="0" w:firstLineChars="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w:t>
            </w:r>
            <w:r>
              <w:rPr>
                <w:color w:val="auto"/>
                <w:sz w:val="24"/>
                <w:highlight w:val="none"/>
              </w:rPr>
              <w:t>高压</w:t>
            </w:r>
            <w:r>
              <w:rPr>
                <w:rFonts w:hint="eastAsia"/>
                <w:color w:val="auto"/>
                <w:sz w:val="24"/>
                <w:highlight w:val="none"/>
              </w:rPr>
              <w:t>（200</w:t>
            </w:r>
            <w:r>
              <w:rPr>
                <w:color w:val="auto"/>
                <w:sz w:val="24"/>
                <w:highlight w:val="none"/>
              </w:rPr>
              <w:t>MW</w:t>
            </w:r>
            <w:r>
              <w:rPr>
                <w:rFonts w:hint="eastAsia"/>
                <w:color w:val="auto"/>
                <w:sz w:val="24"/>
                <w:highlight w:val="none"/>
              </w:rPr>
              <w:t>及</w:t>
            </w:r>
            <w:r>
              <w:rPr>
                <w:color w:val="auto"/>
                <w:sz w:val="24"/>
                <w:highlight w:val="none"/>
              </w:rPr>
              <w:t>以上</w:t>
            </w: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305</w:t>
            </w:r>
          </w:p>
        </w:tc>
        <w:tc>
          <w:tcPr>
            <w:tcW w:w="408" w:type="pct"/>
            <w:vMerge w:val="continue"/>
            <w:vAlign w:val="center"/>
          </w:tcPr>
          <w:p>
            <w:pPr>
              <w:spacing w:line="240" w:lineRule="auto"/>
              <w:ind w:firstLine="0" w:firstLineChars="0"/>
              <w:jc w:val="center"/>
              <w:rPr>
                <w:color w:val="auto"/>
                <w:sz w:val="24"/>
                <w:highlight w:val="none"/>
              </w:rPr>
            </w:pPr>
          </w:p>
        </w:tc>
        <w:tc>
          <w:tcPr>
            <w:tcW w:w="408" w:type="pct"/>
            <w:vMerge w:val="continue"/>
            <w:vAlign w:val="center"/>
          </w:tcPr>
          <w:p>
            <w:pPr>
              <w:spacing w:line="240" w:lineRule="auto"/>
              <w:ind w:firstLine="0" w:firstLineChars="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w:t>
            </w:r>
            <w:r>
              <w:rPr>
                <w:color w:val="auto"/>
                <w:sz w:val="24"/>
                <w:highlight w:val="none"/>
              </w:rPr>
              <w:t>高压</w:t>
            </w:r>
            <w:r>
              <w:rPr>
                <w:rFonts w:hint="eastAsia"/>
                <w:color w:val="auto"/>
                <w:sz w:val="24"/>
                <w:highlight w:val="none"/>
              </w:rPr>
              <w:t>、</w:t>
            </w:r>
            <w:r>
              <w:rPr>
                <w:color w:val="auto"/>
                <w:sz w:val="24"/>
                <w:highlight w:val="none"/>
              </w:rPr>
              <w:t>高压</w:t>
            </w:r>
            <w:r>
              <w:rPr>
                <w:rFonts w:hint="eastAsia"/>
                <w:color w:val="auto"/>
                <w:sz w:val="24"/>
                <w:highlight w:val="none"/>
              </w:rPr>
              <w:t>（200</w:t>
            </w:r>
            <w:r>
              <w:rPr>
                <w:color w:val="auto"/>
                <w:sz w:val="24"/>
                <w:highlight w:val="none"/>
              </w:rPr>
              <w:t>MW</w:t>
            </w:r>
            <w:r>
              <w:rPr>
                <w:rFonts w:hint="eastAsia"/>
                <w:color w:val="auto"/>
                <w:sz w:val="24"/>
                <w:highlight w:val="none"/>
              </w:rPr>
              <w:t>以下）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供热煤耗（kgce</w:t>
            </w:r>
            <w:r>
              <w:rPr>
                <w:color w:val="auto"/>
                <w:sz w:val="24"/>
                <w:highlight w:val="none"/>
              </w:rPr>
              <w:t>/GJ</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highlight w:val="none"/>
              </w:rPr>
            </w:pPr>
            <w:r>
              <w:rPr>
                <w:color w:val="auto"/>
                <w:sz w:val="24"/>
                <w:highlight w:val="none"/>
              </w:rPr>
              <w:t>4</w:t>
            </w:r>
            <w:r>
              <w:rPr>
                <w:rFonts w:hint="eastAsia"/>
                <w:color w:val="auto"/>
                <w:sz w:val="24"/>
                <w:highlight w:val="none"/>
              </w:rPr>
              <w:t>2.0</w:t>
            </w:r>
          </w:p>
        </w:tc>
        <w:tc>
          <w:tcPr>
            <w:tcW w:w="408"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40.5</w:t>
            </w:r>
          </w:p>
        </w:tc>
        <w:tc>
          <w:tcPr>
            <w:tcW w:w="408"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40.5</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超临界</w:t>
            </w:r>
            <w:r>
              <w:rPr>
                <w:color w:val="auto"/>
                <w:sz w:val="24"/>
                <w:highlight w:val="none"/>
              </w:rPr>
              <w:t>及以上</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48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42.5</w:t>
            </w:r>
          </w:p>
        </w:tc>
        <w:tc>
          <w:tcPr>
            <w:tcW w:w="408" w:type="pct"/>
            <w:vMerge w:val="continue"/>
            <w:vAlign w:val="center"/>
          </w:tcPr>
          <w:p>
            <w:pPr>
              <w:spacing w:line="240" w:lineRule="auto"/>
              <w:ind w:firstLine="480"/>
              <w:jc w:val="center"/>
              <w:rPr>
                <w:color w:val="auto"/>
                <w:sz w:val="24"/>
                <w:highlight w:val="none"/>
              </w:rPr>
            </w:pPr>
          </w:p>
        </w:tc>
        <w:tc>
          <w:tcPr>
            <w:tcW w:w="408" w:type="pct"/>
            <w:vMerge w:val="continue"/>
            <w:vAlign w:val="center"/>
          </w:tcPr>
          <w:p>
            <w:pPr>
              <w:spacing w:line="240" w:lineRule="auto"/>
              <w:ind w:firstLine="48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亚</w:t>
            </w:r>
            <w:r>
              <w:rPr>
                <w:color w:val="auto"/>
                <w:sz w:val="24"/>
                <w:highlight w:val="none"/>
              </w:rPr>
              <w:t>临界</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48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43.0</w:t>
            </w:r>
          </w:p>
        </w:tc>
        <w:tc>
          <w:tcPr>
            <w:tcW w:w="408" w:type="pct"/>
            <w:vMerge w:val="continue"/>
            <w:vAlign w:val="center"/>
          </w:tcPr>
          <w:p>
            <w:pPr>
              <w:spacing w:line="240" w:lineRule="auto"/>
              <w:ind w:firstLine="480"/>
              <w:jc w:val="center"/>
              <w:rPr>
                <w:color w:val="auto"/>
                <w:sz w:val="24"/>
                <w:highlight w:val="none"/>
              </w:rPr>
            </w:pPr>
          </w:p>
        </w:tc>
        <w:tc>
          <w:tcPr>
            <w:tcW w:w="408" w:type="pct"/>
            <w:vMerge w:val="continue"/>
            <w:vAlign w:val="center"/>
          </w:tcPr>
          <w:p>
            <w:pPr>
              <w:spacing w:line="240" w:lineRule="auto"/>
              <w:ind w:firstLine="48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w:t>
            </w:r>
            <w:r>
              <w:rPr>
                <w:color w:val="auto"/>
                <w:sz w:val="24"/>
                <w:highlight w:val="none"/>
              </w:rPr>
              <w:t>高压</w:t>
            </w:r>
            <w:r>
              <w:rPr>
                <w:rFonts w:hint="eastAsia"/>
                <w:color w:val="auto"/>
                <w:sz w:val="24"/>
                <w:highlight w:val="none"/>
              </w:rPr>
              <w:t>（200</w:t>
            </w:r>
            <w:r>
              <w:rPr>
                <w:color w:val="auto"/>
                <w:sz w:val="24"/>
                <w:highlight w:val="none"/>
              </w:rPr>
              <w:t>MW</w:t>
            </w:r>
            <w:r>
              <w:rPr>
                <w:rFonts w:hint="eastAsia"/>
                <w:color w:val="auto"/>
                <w:sz w:val="24"/>
                <w:highlight w:val="none"/>
              </w:rPr>
              <w:t>及</w:t>
            </w:r>
            <w:r>
              <w:rPr>
                <w:color w:val="auto"/>
                <w:sz w:val="24"/>
                <w:highlight w:val="none"/>
              </w:rPr>
              <w:t>以上</w:t>
            </w: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42.5</w:t>
            </w:r>
          </w:p>
        </w:tc>
        <w:tc>
          <w:tcPr>
            <w:tcW w:w="408" w:type="pct"/>
            <w:vMerge w:val="continue"/>
            <w:vAlign w:val="center"/>
          </w:tcPr>
          <w:p>
            <w:pPr>
              <w:spacing w:line="240" w:lineRule="auto"/>
              <w:ind w:firstLine="0" w:firstLineChars="0"/>
              <w:jc w:val="center"/>
              <w:rPr>
                <w:color w:val="auto"/>
                <w:sz w:val="24"/>
                <w:highlight w:val="none"/>
              </w:rPr>
            </w:pPr>
          </w:p>
        </w:tc>
        <w:tc>
          <w:tcPr>
            <w:tcW w:w="408" w:type="pct"/>
            <w:vMerge w:val="continue"/>
            <w:vAlign w:val="center"/>
          </w:tcPr>
          <w:p>
            <w:pPr>
              <w:spacing w:line="240" w:lineRule="auto"/>
              <w:ind w:firstLine="0" w:firstLineChars="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w:t>
            </w:r>
            <w:r>
              <w:rPr>
                <w:color w:val="auto"/>
                <w:sz w:val="24"/>
                <w:highlight w:val="none"/>
              </w:rPr>
              <w:t>高压</w:t>
            </w:r>
            <w:r>
              <w:rPr>
                <w:rFonts w:hint="eastAsia"/>
                <w:color w:val="auto"/>
                <w:sz w:val="24"/>
                <w:highlight w:val="none"/>
              </w:rPr>
              <w:t>、</w:t>
            </w:r>
            <w:r>
              <w:rPr>
                <w:color w:val="auto"/>
                <w:sz w:val="24"/>
                <w:highlight w:val="none"/>
              </w:rPr>
              <w:t>高压</w:t>
            </w:r>
            <w:r>
              <w:rPr>
                <w:rFonts w:hint="eastAsia"/>
                <w:color w:val="auto"/>
                <w:sz w:val="24"/>
                <w:highlight w:val="none"/>
              </w:rPr>
              <w:t>（200</w:t>
            </w:r>
            <w:r>
              <w:rPr>
                <w:color w:val="auto"/>
                <w:sz w:val="24"/>
                <w:highlight w:val="none"/>
              </w:rPr>
              <w:t>MW</w:t>
            </w:r>
            <w:r>
              <w:rPr>
                <w:rFonts w:hint="eastAsia"/>
                <w:color w:val="auto"/>
                <w:sz w:val="24"/>
                <w:highlight w:val="none"/>
              </w:rPr>
              <w:t>以下）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szCs w:val="24"/>
                <w:highlight w:val="none"/>
              </w:rPr>
            </w:pPr>
            <w:r>
              <w:rPr>
                <w:color w:val="auto"/>
                <w:sz w:val="24"/>
                <w:szCs w:val="24"/>
                <w:highlight w:val="none"/>
              </w:rPr>
              <w:t>24</w:t>
            </w:r>
          </w:p>
        </w:tc>
        <w:tc>
          <w:tcPr>
            <w:tcW w:w="627"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水性</w:t>
            </w:r>
          </w:p>
          <w:p>
            <w:pPr>
              <w:spacing w:line="240" w:lineRule="auto"/>
              <w:ind w:firstLine="0" w:firstLineChars="0"/>
              <w:jc w:val="center"/>
              <w:rPr>
                <w:color w:val="auto"/>
                <w:sz w:val="24"/>
                <w:szCs w:val="24"/>
                <w:highlight w:val="none"/>
              </w:rPr>
            </w:pPr>
            <w:r>
              <w:rPr>
                <w:rFonts w:hint="eastAsia"/>
                <w:color w:val="auto"/>
                <w:sz w:val="24"/>
                <w:szCs w:val="24"/>
                <w:highlight w:val="none"/>
              </w:rPr>
              <w:t>建筑涂料</w:t>
            </w:r>
          </w:p>
        </w:tc>
        <w:tc>
          <w:tcPr>
            <w:tcW w:w="79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综合能耗（kgce/t）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2.5</w:t>
            </w:r>
          </w:p>
        </w:tc>
        <w:tc>
          <w:tcPr>
            <w:tcW w:w="47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年产量</w:t>
            </w:r>
          </w:p>
          <w:p>
            <w:pPr>
              <w:spacing w:line="240" w:lineRule="auto"/>
              <w:ind w:firstLine="0" w:firstLineChars="0"/>
              <w:jc w:val="center"/>
              <w:rPr>
                <w:color w:val="auto"/>
                <w:sz w:val="24"/>
                <w:szCs w:val="24"/>
                <w:highlight w:val="none"/>
              </w:rPr>
            </w:pPr>
            <w:r>
              <w:rPr>
                <w:rFonts w:hint="eastAsia"/>
                <w:color w:val="auto"/>
                <w:sz w:val="24"/>
                <w:szCs w:val="24"/>
                <w:highlight w:val="none"/>
              </w:rPr>
              <w:t>（t</w:t>
            </w:r>
            <w:r>
              <w:rPr>
                <w:color w:val="auto"/>
                <w:sz w:val="24"/>
                <w:szCs w:val="24"/>
                <w:highlight w:val="none"/>
              </w:rPr>
              <w:t>/</w:t>
            </w:r>
            <w:r>
              <w:rPr>
                <w:rFonts w:hint="eastAsia"/>
                <w:color w:val="auto"/>
                <w:sz w:val="24"/>
                <w:szCs w:val="24"/>
                <w:highlight w:val="none"/>
              </w:rPr>
              <w:t>年）</w:t>
            </w:r>
          </w:p>
        </w:tc>
        <w:tc>
          <w:tcPr>
            <w:tcW w:w="5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≥5000</w:t>
            </w:r>
          </w:p>
        </w:tc>
        <w:tc>
          <w:tcPr>
            <w:tcW w:w="1044"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《建筑涂料单位产品能源消耗限额》（</w:t>
            </w:r>
            <w:r>
              <w:rPr>
                <w:color w:val="auto"/>
                <w:sz w:val="24"/>
                <w:szCs w:val="24"/>
                <w:highlight w:val="none"/>
              </w:rPr>
              <w:t>DB31 711-2013</w:t>
            </w:r>
            <w:r>
              <w:rPr>
                <w:rFonts w:hint="eastAsia"/>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48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7</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≥1000、</w:t>
            </w:r>
            <w:r>
              <w:rPr>
                <w:color w:val="auto"/>
                <w:sz w:val="24"/>
                <w:highlight w:val="none"/>
              </w:rPr>
              <w:t>＜</w:t>
            </w:r>
            <w:r>
              <w:rPr>
                <w:rFonts w:hint="eastAsia"/>
                <w:color w:val="auto"/>
                <w:sz w:val="24"/>
                <w:highlight w:val="none"/>
              </w:rPr>
              <w:t>5000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6.5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＜1000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color w:val="auto"/>
                <w:sz w:val="24"/>
                <w:highlight w:val="none"/>
              </w:rPr>
              <w:t>25</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印染布</w:t>
            </w:r>
          </w:p>
        </w:tc>
        <w:tc>
          <w:tcPr>
            <w:tcW w:w="792"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综合能耗（kgce/</w:t>
            </w:r>
            <w:r>
              <w:rPr>
                <w:color w:val="auto"/>
                <w:sz w:val="24"/>
                <w:szCs w:val="24"/>
                <w:highlight w:val="none"/>
              </w:rPr>
              <w:t>hm</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22</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44" w:type="pct"/>
            <w:vAlign w:val="center"/>
          </w:tcPr>
          <w:p>
            <w:pPr>
              <w:spacing w:line="240" w:lineRule="auto"/>
              <w:ind w:firstLine="0" w:firstLineChars="0"/>
              <w:jc w:val="center"/>
              <w:rPr>
                <w:color w:val="auto"/>
                <w:sz w:val="24"/>
                <w:highlight w:val="none"/>
              </w:rPr>
            </w:pPr>
            <w:r>
              <w:rPr>
                <w:rFonts w:hint="eastAsia"/>
                <w:color w:val="auto"/>
                <w:sz w:val="24"/>
                <w:highlight w:val="none"/>
              </w:rPr>
              <w:t>《印染布可比单位综合能耗限额及计算方法》（DB33/ 685-2013）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6" w:hRule="atLeast"/>
          <w:jc w:val="center"/>
        </w:trPr>
        <w:tc>
          <w:tcPr>
            <w:tcW w:w="256" w:type="pct"/>
            <w:vMerge w:val="restart"/>
            <w:vAlign w:val="center"/>
          </w:tcPr>
          <w:p>
            <w:pPr>
              <w:spacing w:line="240" w:lineRule="auto"/>
              <w:ind w:firstLine="0" w:firstLineChars="0"/>
              <w:jc w:val="center"/>
              <w:rPr>
                <w:color w:val="auto"/>
                <w:sz w:val="24"/>
                <w:highlight w:val="none"/>
              </w:rPr>
            </w:pPr>
            <w:r>
              <w:rPr>
                <w:color w:val="auto"/>
                <w:sz w:val="24"/>
                <w:highlight w:val="none"/>
              </w:rPr>
              <w:t>26</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棉布</w:t>
            </w:r>
          </w:p>
        </w:tc>
        <w:tc>
          <w:tcPr>
            <w:tcW w:w="792"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单位电耗（k</w:t>
            </w:r>
            <w:r>
              <w:rPr>
                <w:color w:val="auto"/>
                <w:sz w:val="24"/>
                <w:szCs w:val="24"/>
                <w:highlight w:val="none"/>
              </w:rPr>
              <w:t>W·h</w:t>
            </w:r>
            <w:r>
              <w:rPr>
                <w:rFonts w:hint="eastAsia"/>
                <w:color w:val="auto"/>
                <w:sz w:val="24"/>
                <w:szCs w:val="24"/>
                <w:highlight w:val="none"/>
              </w:rPr>
              <w:t>/</w:t>
            </w:r>
            <w:r>
              <w:rPr>
                <w:color w:val="auto"/>
                <w:sz w:val="24"/>
                <w:szCs w:val="24"/>
                <w:highlight w:val="none"/>
              </w:rPr>
              <w:t>hm</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7</w:t>
            </w:r>
          </w:p>
        </w:tc>
        <w:tc>
          <w:tcPr>
            <w:tcW w:w="408" w:type="pct"/>
            <w:vAlign w:val="center"/>
          </w:tcPr>
          <w:p>
            <w:pPr>
              <w:spacing w:line="240" w:lineRule="auto"/>
              <w:ind w:firstLine="0" w:firstLineChars="0"/>
              <w:jc w:val="center"/>
              <w:rPr>
                <w:color w:val="auto"/>
                <w:sz w:val="24"/>
                <w:highlight w:val="none"/>
              </w:rPr>
            </w:pPr>
            <w:r>
              <w:rPr>
                <w:color w:val="auto"/>
                <w:sz w:val="24"/>
                <w:highlight w:val="none"/>
              </w:rPr>
              <w:t>16</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15</w:t>
            </w:r>
          </w:p>
        </w:tc>
        <w:tc>
          <w:tcPr>
            <w:tcW w:w="1057" w:type="pct"/>
            <w:gridSpan w:val="2"/>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《棉布单位产品可比电耗、综合能耗限额及计算方法》（DB33/ 757-2015）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综合能耗（kgce/</w:t>
            </w:r>
            <w:r>
              <w:rPr>
                <w:color w:val="auto"/>
                <w:sz w:val="24"/>
                <w:szCs w:val="24"/>
                <w:highlight w:val="none"/>
              </w:rPr>
              <w:t>hm</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w:t>
            </w:r>
          </w:p>
        </w:tc>
        <w:tc>
          <w:tcPr>
            <w:tcW w:w="1057" w:type="pct"/>
            <w:gridSpan w:val="2"/>
            <w:vMerge w:val="continue"/>
            <w:vAlign w:val="center"/>
          </w:tcPr>
          <w:p>
            <w:pPr>
              <w:spacing w:line="240" w:lineRule="auto"/>
              <w:ind w:firstLine="0" w:firstLineChars="0"/>
              <w:jc w:val="center"/>
              <w:rPr>
                <w:color w:val="auto"/>
                <w:sz w:val="24"/>
                <w:highlight w:val="none"/>
              </w:rPr>
            </w:pP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color w:val="auto"/>
                <w:sz w:val="24"/>
                <w:highlight w:val="none"/>
              </w:rPr>
              <w:t>27</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棉纱</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单位电耗（k</w:t>
            </w:r>
            <w:r>
              <w:rPr>
                <w:color w:val="auto"/>
                <w:sz w:val="24"/>
                <w:highlight w:val="none"/>
              </w:rPr>
              <w:t>W·h</w:t>
            </w:r>
            <w:r>
              <w:rPr>
                <w:rFonts w:hint="eastAsia"/>
                <w:color w:val="auto"/>
                <w:sz w:val="24"/>
                <w:highlight w:val="none"/>
              </w:rPr>
              <w:t>/</w:t>
            </w:r>
            <w:r>
              <w:rPr>
                <w:color w:val="auto"/>
                <w:sz w:val="24"/>
                <w:highlight w:val="none"/>
              </w:rPr>
              <w:t>t</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650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1600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1500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44" w:type="pct"/>
            <w:vAlign w:val="center"/>
          </w:tcPr>
          <w:p>
            <w:pPr>
              <w:spacing w:line="240" w:lineRule="auto"/>
              <w:ind w:firstLine="0" w:firstLineChars="0"/>
              <w:jc w:val="center"/>
              <w:rPr>
                <w:color w:val="auto"/>
                <w:sz w:val="24"/>
                <w:highlight w:val="none"/>
              </w:rPr>
            </w:pPr>
            <w:r>
              <w:rPr>
                <w:rFonts w:hint="eastAsia"/>
                <w:color w:val="auto"/>
                <w:sz w:val="24"/>
                <w:highlight w:val="none"/>
              </w:rPr>
              <w:t>《棉纱单位产品可比综合电耗限额及计算方法》（DB33 758-2015）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color w:val="auto"/>
                <w:sz w:val="24"/>
                <w:highlight w:val="none"/>
              </w:rPr>
              <w:t>28</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焊接件</w:t>
            </w:r>
          </w:p>
        </w:tc>
        <w:tc>
          <w:tcPr>
            <w:tcW w:w="79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t</w:t>
            </w:r>
            <w:r>
              <w:rPr>
                <w:rFonts w:hint="eastAsia"/>
                <w:color w:val="auto"/>
                <w:sz w:val="24"/>
                <w:highlight w:val="none"/>
              </w:rPr>
              <w:t>）</w:t>
            </w: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527</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重型/矿山</w:t>
            </w:r>
            <w:r>
              <w:rPr>
                <w:color w:val="auto"/>
                <w:sz w:val="24"/>
                <w:highlight w:val="none"/>
              </w:rPr>
              <w:t>机械</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《机械工业工程节能</w:t>
            </w:r>
          </w:p>
          <w:p>
            <w:pPr>
              <w:spacing w:line="240" w:lineRule="auto"/>
              <w:ind w:firstLine="0" w:firstLineChars="0"/>
              <w:jc w:val="center"/>
              <w:rPr>
                <w:color w:val="auto"/>
                <w:sz w:val="24"/>
                <w:highlight w:val="none"/>
              </w:rPr>
            </w:pPr>
            <w:r>
              <w:rPr>
                <w:rFonts w:hint="eastAsia"/>
                <w:color w:val="auto"/>
                <w:sz w:val="24"/>
                <w:highlight w:val="none"/>
              </w:rPr>
              <w:t>设计规范》（GB</w:t>
            </w:r>
            <w:r>
              <w:rPr>
                <w:color w:val="auto"/>
                <w:sz w:val="24"/>
                <w:highlight w:val="none"/>
              </w:rPr>
              <w:t xml:space="preserve"> </w:t>
            </w:r>
            <w:r>
              <w:rPr>
                <w:rFonts w:hint="eastAsia"/>
                <w:color w:val="auto"/>
                <w:sz w:val="24"/>
                <w:highlight w:val="none"/>
              </w:rPr>
              <w:t>50910-2013）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232</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工程</w:t>
            </w:r>
            <w:r>
              <w:rPr>
                <w:color w:val="auto"/>
                <w:sz w:val="24"/>
                <w:highlight w:val="none"/>
              </w:rPr>
              <w:t>机械</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345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通用</w:t>
            </w:r>
            <w:r>
              <w:rPr>
                <w:color w:val="auto"/>
                <w:sz w:val="24"/>
                <w:highlight w:val="none"/>
              </w:rPr>
              <w:t>机械</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174</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汽车</w:t>
            </w: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重型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118</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中型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140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轻型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color w:val="auto"/>
                <w:sz w:val="24"/>
                <w:highlight w:val="none"/>
              </w:rPr>
              <w:t>29</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卷烟纸</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900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855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820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44" w:type="pct"/>
            <w:vAlign w:val="center"/>
          </w:tcPr>
          <w:p>
            <w:pPr>
              <w:spacing w:line="240" w:lineRule="auto"/>
              <w:ind w:firstLine="0" w:firstLineChars="0"/>
              <w:jc w:val="center"/>
              <w:rPr>
                <w:color w:val="auto"/>
                <w:sz w:val="24"/>
                <w:highlight w:val="none"/>
              </w:rPr>
            </w:pPr>
            <w:r>
              <w:rPr>
                <w:rFonts w:hint="eastAsia"/>
                <w:color w:val="auto"/>
                <w:sz w:val="24"/>
                <w:highlight w:val="none"/>
              </w:rPr>
              <w:t>《机制纸板和卷烟纸单位产品能耗限额及计算方法》（DB33/686-2019）</w:t>
            </w:r>
          </w:p>
        </w:tc>
      </w:tr>
    </w:tbl>
    <w:p>
      <w:pPr>
        <w:rPr>
          <w:color w:val="auto"/>
          <w:highlight w:val="none"/>
        </w:rPr>
        <w:sectPr>
          <w:pgSz w:w="16838" w:h="11906" w:orient="landscape"/>
          <w:pgMar w:top="1440" w:right="1800" w:bottom="1440" w:left="1800" w:header="850" w:footer="992" w:gutter="0"/>
          <w:cols w:space="425" w:num="1"/>
          <w:docGrid w:type="lines" w:linePitch="381" w:charSpace="0"/>
        </w:sectPr>
      </w:pPr>
    </w:p>
    <w:p>
      <w:pPr>
        <w:pStyle w:val="27"/>
        <w:ind w:left="0" w:leftChars="0" w:firstLine="0" w:firstLineChars="0"/>
        <w:jc w:val="center"/>
        <w:rPr>
          <w:rFonts w:hint="default"/>
          <w:color w:val="auto"/>
          <w:highlight w:val="none"/>
          <w:lang w:val="en-US"/>
        </w:rPr>
      </w:pPr>
      <w:bookmarkStart w:id="91" w:name="_Ref22669"/>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10</w:t>
      </w:r>
      <w:r>
        <w:rPr>
          <w:color w:val="auto"/>
          <w:highlight w:val="none"/>
        </w:rPr>
        <w:fldChar w:fldCharType="end"/>
      </w:r>
      <w:bookmarkEnd w:id="91"/>
      <w:r>
        <w:rPr>
          <w:color w:val="auto"/>
          <w:highlight w:val="none"/>
        </w:rPr>
        <w:t xml:space="preserve"> </w:t>
      </w:r>
      <w:r>
        <w:rPr>
          <w:rFonts w:hint="default" w:ascii="Times New Roman" w:hAnsi="Times New Roman" w:eastAsia="宋体" w:cs="Times New Roman"/>
          <w:b w:val="0"/>
          <w:bCs/>
          <w:color w:val="auto"/>
          <w:highlight w:val="none"/>
          <w:lang w:eastAsia="zh-CN"/>
        </w:rPr>
        <w:t>区域建筑能效指标</w:t>
      </w:r>
      <w:r>
        <w:rPr>
          <w:rFonts w:hint="eastAsia" w:ascii="Times New Roman" w:hAnsi="Times New Roman" w:eastAsia="宋体" w:cs="Times New Roman"/>
          <w:b w:val="0"/>
          <w:bCs/>
          <w:color w:val="auto"/>
          <w:highlight w:val="none"/>
          <w:lang w:val="en-US" w:eastAsia="zh-CN"/>
        </w:rPr>
        <w:t>准入值表</w:t>
      </w:r>
    </w:p>
    <w:p>
      <w:pPr>
        <w:ind w:left="0" w:lef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8423910" cy="3660140"/>
            <wp:effectExtent l="0" t="0" r="15240" b="16510"/>
            <wp:docPr id="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
                    <pic:cNvPicPr>
                      <a:picLocks noChangeAspect="1"/>
                    </pic:cNvPicPr>
                  </pic:nvPicPr>
                  <pic:blipFill>
                    <a:blip r:embed="rId20"/>
                    <a:stretch>
                      <a:fillRect/>
                    </a:stretch>
                  </pic:blipFill>
                  <pic:spPr>
                    <a:xfrm>
                      <a:off x="0" y="0"/>
                      <a:ext cx="8423910" cy="3660140"/>
                    </a:xfrm>
                    <a:prstGeom prst="rect">
                      <a:avLst/>
                    </a:prstGeom>
                    <a:noFill/>
                    <a:ln>
                      <a:noFill/>
                    </a:ln>
                  </pic:spPr>
                </pic:pic>
              </a:graphicData>
            </a:graphic>
          </wp:inline>
        </w:drawing>
      </w:r>
    </w:p>
    <w:p>
      <w:pPr>
        <w:pStyle w:val="27"/>
        <w:ind w:left="0" w:lef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8411845" cy="2371090"/>
            <wp:effectExtent l="0" t="0" r="8255" b="10160"/>
            <wp:docPr id="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
                    <pic:cNvPicPr>
                      <a:picLocks noChangeAspect="1"/>
                    </pic:cNvPicPr>
                  </pic:nvPicPr>
                  <pic:blipFill>
                    <a:blip r:embed="rId21"/>
                    <a:stretch>
                      <a:fillRect/>
                    </a:stretch>
                  </pic:blipFill>
                  <pic:spPr>
                    <a:xfrm>
                      <a:off x="0" y="0"/>
                      <a:ext cx="8411845" cy="2371090"/>
                    </a:xfrm>
                    <a:prstGeom prst="rect">
                      <a:avLst/>
                    </a:prstGeom>
                    <a:noFill/>
                    <a:ln>
                      <a:noFill/>
                    </a:ln>
                  </pic:spPr>
                </pic:pic>
              </a:graphicData>
            </a:graphic>
          </wp:inline>
        </w:drawing>
      </w:r>
    </w:p>
    <w:p>
      <w:pPr>
        <w:ind w:left="0" w:leftChars="0" w:firstLine="0" w:firstLineChars="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drawing>
          <wp:inline distT="0" distB="0" distL="114300" distR="114300">
            <wp:extent cx="8366125" cy="2319655"/>
            <wp:effectExtent l="0" t="0" r="15875" b="4445"/>
            <wp:docPr id="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5"/>
                    <pic:cNvPicPr>
                      <a:picLocks noChangeAspect="1"/>
                    </pic:cNvPicPr>
                  </pic:nvPicPr>
                  <pic:blipFill>
                    <a:blip r:embed="rId22"/>
                    <a:stretch>
                      <a:fillRect/>
                    </a:stretch>
                  </pic:blipFill>
                  <pic:spPr>
                    <a:xfrm>
                      <a:off x="0" y="0"/>
                      <a:ext cx="8366125" cy="2319655"/>
                    </a:xfrm>
                    <a:prstGeom prst="rect">
                      <a:avLst/>
                    </a:prstGeom>
                    <a:noFill/>
                    <a:ln>
                      <a:noFill/>
                    </a:ln>
                  </pic:spPr>
                </pic:pic>
              </a:graphicData>
            </a:graphic>
          </wp:inline>
        </w:drawing>
      </w:r>
    </w:p>
    <w:p>
      <w:pPr>
        <w:rPr>
          <w:rFonts w:hint="default" w:ascii="Times New Roman" w:hAnsi="Times New Roman" w:cs="Times New Roman"/>
          <w:color w:val="auto"/>
          <w:highlight w:val="none"/>
          <w:lang w:eastAsia="zh-CN"/>
        </w:rPr>
      </w:pPr>
    </w:p>
    <w:p>
      <w:pPr>
        <w:pStyle w:val="27"/>
        <w:ind w:left="0" w:lef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8427085" cy="1176020"/>
            <wp:effectExtent l="0" t="0" r="12065" b="5080"/>
            <wp:docPr id="8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6"/>
                    <pic:cNvPicPr>
                      <a:picLocks noChangeAspect="1"/>
                    </pic:cNvPicPr>
                  </pic:nvPicPr>
                  <pic:blipFill>
                    <a:blip r:embed="rId23"/>
                    <a:stretch>
                      <a:fillRect/>
                    </a:stretch>
                  </pic:blipFill>
                  <pic:spPr>
                    <a:xfrm>
                      <a:off x="0" y="0"/>
                      <a:ext cx="8427085" cy="1176020"/>
                    </a:xfrm>
                    <a:prstGeom prst="rect">
                      <a:avLst/>
                    </a:prstGeom>
                    <a:noFill/>
                    <a:ln>
                      <a:noFill/>
                    </a:ln>
                  </pic:spPr>
                </pic:pic>
              </a:graphicData>
            </a:graphic>
          </wp:inline>
        </w:drawing>
      </w:r>
    </w:p>
    <w:p>
      <w:pPr>
        <w:ind w:left="0" w:leftChars="0" w:firstLine="0" w:firstLineChars="0"/>
        <w:rPr>
          <w:color w:val="auto"/>
          <w:highlight w:val="none"/>
        </w:rPr>
      </w:pPr>
      <w:r>
        <w:rPr>
          <w:rFonts w:hint="default" w:ascii="Times New Roman" w:hAnsi="Times New Roman" w:cs="Times New Roman"/>
          <w:color w:val="auto"/>
          <w:highlight w:val="none"/>
        </w:rPr>
        <w:drawing>
          <wp:inline distT="0" distB="0" distL="114300" distR="114300">
            <wp:extent cx="8439785" cy="3226435"/>
            <wp:effectExtent l="0" t="0" r="18415" b="12065"/>
            <wp:docPr id="8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7"/>
                    <pic:cNvPicPr>
                      <a:picLocks noChangeAspect="1"/>
                    </pic:cNvPicPr>
                  </pic:nvPicPr>
                  <pic:blipFill>
                    <a:blip r:embed="rId24"/>
                    <a:stretch>
                      <a:fillRect/>
                    </a:stretch>
                  </pic:blipFill>
                  <pic:spPr>
                    <a:xfrm>
                      <a:off x="0" y="0"/>
                      <a:ext cx="8439785" cy="3226435"/>
                    </a:xfrm>
                    <a:prstGeom prst="rect">
                      <a:avLst/>
                    </a:prstGeom>
                    <a:noFill/>
                    <a:ln>
                      <a:noFill/>
                    </a:ln>
                  </pic:spPr>
                </pic:pic>
              </a:graphicData>
            </a:graphic>
          </wp:inline>
        </w:drawing>
      </w:r>
    </w:p>
    <w:p>
      <w:pPr>
        <w:ind w:left="0" w:leftChars="0" w:firstLine="0" w:firstLineChars="0"/>
        <w:rPr>
          <w:color w:val="auto"/>
          <w:highlight w:val="none"/>
        </w:rPr>
        <w:sectPr>
          <w:pgSz w:w="16838" w:h="11906" w:orient="landscape"/>
          <w:pgMar w:top="1440" w:right="1800" w:bottom="1440" w:left="1800" w:header="850" w:footer="992" w:gutter="0"/>
          <w:cols w:space="425" w:num="1"/>
          <w:docGrid w:type="lines" w:linePitch="381" w:charSpace="0"/>
        </w:sectPr>
      </w:pPr>
      <w:r>
        <w:rPr>
          <w:rFonts w:hint="default" w:ascii="Times New Roman" w:hAnsi="Times New Roman" w:cs="Times New Roman"/>
          <w:color w:val="auto"/>
          <w:highlight w:val="none"/>
        </w:rPr>
        <w:drawing>
          <wp:inline distT="0" distB="0" distL="114300" distR="114300">
            <wp:extent cx="8401050" cy="3517900"/>
            <wp:effectExtent l="0" t="0" r="0" b="6350"/>
            <wp:docPr id="8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
                    <pic:cNvPicPr>
                      <a:picLocks noChangeAspect="1"/>
                    </pic:cNvPicPr>
                  </pic:nvPicPr>
                  <pic:blipFill>
                    <a:blip r:embed="rId25"/>
                    <a:stretch>
                      <a:fillRect/>
                    </a:stretch>
                  </pic:blipFill>
                  <pic:spPr>
                    <a:xfrm>
                      <a:off x="0" y="0"/>
                      <a:ext cx="8401050" cy="351790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22310" cy="3109595"/>
            <wp:effectExtent l="0" t="0" r="2540" b="14605"/>
            <wp:docPr id="8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9"/>
                    <pic:cNvPicPr>
                      <a:picLocks noChangeAspect="1"/>
                    </pic:cNvPicPr>
                  </pic:nvPicPr>
                  <pic:blipFill>
                    <a:blip r:embed="rId26"/>
                    <a:stretch>
                      <a:fillRect/>
                    </a:stretch>
                  </pic:blipFill>
                  <pic:spPr>
                    <a:xfrm>
                      <a:off x="0" y="0"/>
                      <a:ext cx="8322310" cy="310959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298815" cy="3126105"/>
            <wp:effectExtent l="0" t="0" r="6985" b="17145"/>
            <wp:docPr id="8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0"/>
                    <pic:cNvPicPr>
                      <a:picLocks noChangeAspect="1"/>
                    </pic:cNvPicPr>
                  </pic:nvPicPr>
                  <pic:blipFill>
                    <a:blip r:embed="rId27"/>
                    <a:stretch>
                      <a:fillRect/>
                    </a:stretch>
                  </pic:blipFill>
                  <pic:spPr>
                    <a:xfrm>
                      <a:off x="0" y="0"/>
                      <a:ext cx="8298815" cy="312610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67395" cy="2575560"/>
            <wp:effectExtent l="0" t="0" r="14605" b="15240"/>
            <wp:docPr id="8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1"/>
                    <pic:cNvPicPr>
                      <a:picLocks noChangeAspect="1"/>
                    </pic:cNvPicPr>
                  </pic:nvPicPr>
                  <pic:blipFill>
                    <a:blip r:embed="rId28"/>
                    <a:stretch>
                      <a:fillRect/>
                    </a:stretch>
                  </pic:blipFill>
                  <pic:spPr>
                    <a:xfrm>
                      <a:off x="0" y="0"/>
                      <a:ext cx="8367395" cy="257556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94065" cy="3700145"/>
            <wp:effectExtent l="0" t="0" r="6985" b="14605"/>
            <wp:docPr id="8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2"/>
                    <pic:cNvPicPr>
                      <a:picLocks noChangeAspect="1"/>
                    </pic:cNvPicPr>
                  </pic:nvPicPr>
                  <pic:blipFill>
                    <a:blip r:embed="rId29"/>
                    <a:stretch>
                      <a:fillRect/>
                    </a:stretch>
                  </pic:blipFill>
                  <pic:spPr>
                    <a:xfrm>
                      <a:off x="0" y="0"/>
                      <a:ext cx="8394065" cy="370014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43595" cy="4370705"/>
            <wp:effectExtent l="0" t="0" r="14605" b="10795"/>
            <wp:docPr id="9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4"/>
                    <pic:cNvPicPr>
                      <a:picLocks noChangeAspect="1"/>
                    </pic:cNvPicPr>
                  </pic:nvPicPr>
                  <pic:blipFill>
                    <a:blip r:embed="rId30"/>
                    <a:stretch>
                      <a:fillRect/>
                    </a:stretch>
                  </pic:blipFill>
                  <pic:spPr>
                    <a:xfrm>
                      <a:off x="0" y="0"/>
                      <a:ext cx="8443595" cy="437070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48345" cy="3023235"/>
            <wp:effectExtent l="0" t="0" r="14605" b="5715"/>
            <wp:docPr id="9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5"/>
                    <pic:cNvPicPr>
                      <a:picLocks noChangeAspect="1"/>
                    </pic:cNvPicPr>
                  </pic:nvPicPr>
                  <pic:blipFill>
                    <a:blip r:embed="rId31"/>
                    <a:stretch>
                      <a:fillRect/>
                    </a:stretch>
                  </pic:blipFill>
                  <pic:spPr>
                    <a:xfrm>
                      <a:off x="0" y="0"/>
                      <a:ext cx="8348345" cy="302323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43265" cy="2863215"/>
            <wp:effectExtent l="0" t="0" r="635" b="13335"/>
            <wp:docPr id="9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6"/>
                    <pic:cNvPicPr>
                      <a:picLocks noChangeAspect="1"/>
                    </pic:cNvPicPr>
                  </pic:nvPicPr>
                  <pic:blipFill>
                    <a:blip r:embed="rId32"/>
                    <a:stretch>
                      <a:fillRect/>
                    </a:stretch>
                  </pic:blipFill>
                  <pic:spPr>
                    <a:xfrm>
                      <a:off x="0" y="0"/>
                      <a:ext cx="8343265" cy="286321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96605" cy="3919855"/>
            <wp:effectExtent l="0" t="0" r="4445" b="4445"/>
            <wp:docPr id="9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7"/>
                    <pic:cNvPicPr>
                      <a:picLocks noChangeAspect="1"/>
                    </pic:cNvPicPr>
                  </pic:nvPicPr>
                  <pic:blipFill>
                    <a:blip r:embed="rId33"/>
                    <a:stretch>
                      <a:fillRect/>
                    </a:stretch>
                  </pic:blipFill>
                  <pic:spPr>
                    <a:xfrm>
                      <a:off x="0" y="0"/>
                      <a:ext cx="8396605" cy="391985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99780" cy="3526155"/>
            <wp:effectExtent l="0" t="0" r="1270" b="17145"/>
            <wp:docPr id="9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8"/>
                    <pic:cNvPicPr>
                      <a:picLocks noChangeAspect="1"/>
                    </pic:cNvPicPr>
                  </pic:nvPicPr>
                  <pic:blipFill>
                    <a:blip r:embed="rId34"/>
                    <a:stretch>
                      <a:fillRect/>
                    </a:stretch>
                  </pic:blipFill>
                  <pic:spPr>
                    <a:xfrm>
                      <a:off x="0" y="0"/>
                      <a:ext cx="8399780" cy="352615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21675" cy="2534920"/>
            <wp:effectExtent l="0" t="0" r="3175" b="17780"/>
            <wp:docPr id="9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9"/>
                    <pic:cNvPicPr>
                      <a:picLocks noChangeAspect="1"/>
                    </pic:cNvPicPr>
                  </pic:nvPicPr>
                  <pic:blipFill>
                    <a:blip r:embed="rId35"/>
                    <a:stretch>
                      <a:fillRect/>
                    </a:stretch>
                  </pic:blipFill>
                  <pic:spPr>
                    <a:xfrm>
                      <a:off x="0" y="0"/>
                      <a:ext cx="8321675" cy="253492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86445" cy="4271010"/>
            <wp:effectExtent l="0" t="0" r="14605" b="15240"/>
            <wp:docPr id="9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0"/>
                    <pic:cNvPicPr>
                      <a:picLocks noChangeAspect="1"/>
                    </pic:cNvPicPr>
                  </pic:nvPicPr>
                  <pic:blipFill>
                    <a:blip r:embed="rId36"/>
                    <a:stretch>
                      <a:fillRect/>
                    </a:stretch>
                  </pic:blipFill>
                  <pic:spPr>
                    <a:xfrm>
                      <a:off x="0" y="0"/>
                      <a:ext cx="8386445" cy="427101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75650" cy="3248660"/>
            <wp:effectExtent l="0" t="0" r="6350" b="8890"/>
            <wp:docPr id="9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1"/>
                    <pic:cNvPicPr>
                      <a:picLocks noChangeAspect="1"/>
                    </pic:cNvPicPr>
                  </pic:nvPicPr>
                  <pic:blipFill>
                    <a:blip r:embed="rId37"/>
                    <a:stretch>
                      <a:fillRect/>
                    </a:stretch>
                  </pic:blipFill>
                  <pic:spPr>
                    <a:xfrm>
                      <a:off x="0" y="0"/>
                      <a:ext cx="8375650" cy="324866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25485" cy="3357880"/>
            <wp:effectExtent l="0" t="0" r="18415" b="13970"/>
            <wp:docPr id="9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2"/>
                    <pic:cNvPicPr>
                      <a:picLocks noChangeAspect="1"/>
                    </pic:cNvPicPr>
                  </pic:nvPicPr>
                  <pic:blipFill>
                    <a:blip r:embed="rId38"/>
                    <a:stretch>
                      <a:fillRect/>
                    </a:stretch>
                  </pic:blipFill>
                  <pic:spPr>
                    <a:xfrm>
                      <a:off x="0" y="0"/>
                      <a:ext cx="8325485" cy="335788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37880" cy="3425825"/>
            <wp:effectExtent l="0" t="0" r="1270" b="3175"/>
            <wp:docPr id="9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3"/>
                    <pic:cNvPicPr>
                      <a:picLocks noChangeAspect="1"/>
                    </pic:cNvPicPr>
                  </pic:nvPicPr>
                  <pic:blipFill>
                    <a:blip r:embed="rId39"/>
                    <a:stretch>
                      <a:fillRect/>
                    </a:stretch>
                  </pic:blipFill>
                  <pic:spPr>
                    <a:xfrm>
                      <a:off x="0" y="0"/>
                      <a:ext cx="8437880" cy="342582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50580" cy="4725035"/>
            <wp:effectExtent l="0" t="0" r="7620" b="18415"/>
            <wp:docPr id="10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4"/>
                    <pic:cNvPicPr>
                      <a:picLocks noChangeAspect="1"/>
                    </pic:cNvPicPr>
                  </pic:nvPicPr>
                  <pic:blipFill>
                    <a:blip r:embed="rId40"/>
                    <a:stretch>
                      <a:fillRect/>
                    </a:stretch>
                  </pic:blipFill>
                  <pic:spPr>
                    <a:xfrm>
                      <a:off x="0" y="0"/>
                      <a:ext cx="8450580" cy="472503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35975" cy="4719955"/>
            <wp:effectExtent l="0" t="0" r="3175" b="4445"/>
            <wp:docPr id="10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5"/>
                    <pic:cNvPicPr>
                      <a:picLocks noChangeAspect="1"/>
                    </pic:cNvPicPr>
                  </pic:nvPicPr>
                  <pic:blipFill>
                    <a:blip r:embed="rId41"/>
                    <a:stretch>
                      <a:fillRect/>
                    </a:stretch>
                  </pic:blipFill>
                  <pic:spPr>
                    <a:xfrm>
                      <a:off x="0" y="0"/>
                      <a:ext cx="8435975" cy="471995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61375" cy="4479925"/>
            <wp:effectExtent l="0" t="0" r="15875" b="15875"/>
            <wp:docPr id="10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6"/>
                    <pic:cNvPicPr>
                      <a:picLocks noChangeAspect="1"/>
                    </pic:cNvPicPr>
                  </pic:nvPicPr>
                  <pic:blipFill>
                    <a:blip r:embed="rId42"/>
                    <a:stretch>
                      <a:fillRect/>
                    </a:stretch>
                  </pic:blipFill>
                  <pic:spPr>
                    <a:xfrm>
                      <a:off x="0" y="0"/>
                      <a:ext cx="8461375" cy="447992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28355" cy="4440555"/>
            <wp:effectExtent l="0" t="0" r="10795" b="17145"/>
            <wp:docPr id="10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7"/>
                    <pic:cNvPicPr>
                      <a:picLocks noChangeAspect="1"/>
                    </pic:cNvPicPr>
                  </pic:nvPicPr>
                  <pic:blipFill>
                    <a:blip r:embed="rId43"/>
                    <a:stretch>
                      <a:fillRect/>
                    </a:stretch>
                  </pic:blipFill>
                  <pic:spPr>
                    <a:xfrm>
                      <a:off x="0" y="0"/>
                      <a:ext cx="8428355" cy="444055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72170" cy="3576955"/>
            <wp:effectExtent l="0" t="0" r="5080" b="4445"/>
            <wp:docPr id="10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28"/>
                    <pic:cNvPicPr>
                      <a:picLocks noChangeAspect="1"/>
                    </pic:cNvPicPr>
                  </pic:nvPicPr>
                  <pic:blipFill>
                    <a:blip r:embed="rId44"/>
                    <a:stretch>
                      <a:fillRect/>
                    </a:stretch>
                  </pic:blipFill>
                  <pic:spPr>
                    <a:xfrm>
                      <a:off x="0" y="0"/>
                      <a:ext cx="8472170" cy="357695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45500" cy="4662170"/>
            <wp:effectExtent l="0" t="0" r="12700" b="5080"/>
            <wp:docPr id="10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9"/>
                    <pic:cNvPicPr>
                      <a:picLocks noChangeAspect="1"/>
                    </pic:cNvPicPr>
                  </pic:nvPicPr>
                  <pic:blipFill>
                    <a:blip r:embed="rId45"/>
                    <a:stretch>
                      <a:fillRect/>
                    </a:stretch>
                  </pic:blipFill>
                  <pic:spPr>
                    <a:xfrm>
                      <a:off x="0" y="0"/>
                      <a:ext cx="8445500" cy="466217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23275" cy="4530725"/>
            <wp:effectExtent l="0" t="0" r="15875" b="3175"/>
            <wp:docPr id="10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0"/>
                    <pic:cNvPicPr>
                      <a:picLocks noChangeAspect="1"/>
                    </pic:cNvPicPr>
                  </pic:nvPicPr>
                  <pic:blipFill>
                    <a:blip r:embed="rId46"/>
                    <a:stretch>
                      <a:fillRect/>
                    </a:stretch>
                  </pic:blipFill>
                  <pic:spPr>
                    <a:xfrm>
                      <a:off x="0" y="0"/>
                      <a:ext cx="8423275" cy="453072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09940" cy="3101340"/>
            <wp:effectExtent l="0" t="0" r="10160" b="3810"/>
            <wp:docPr id="10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1"/>
                    <pic:cNvPicPr>
                      <a:picLocks noChangeAspect="1"/>
                    </pic:cNvPicPr>
                  </pic:nvPicPr>
                  <pic:blipFill>
                    <a:blip r:embed="rId47"/>
                    <a:stretch>
                      <a:fillRect/>
                    </a:stretch>
                  </pic:blipFill>
                  <pic:spPr>
                    <a:xfrm>
                      <a:off x="0" y="0"/>
                      <a:ext cx="8409940" cy="310134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87715" cy="3898265"/>
            <wp:effectExtent l="0" t="0" r="13335" b="6985"/>
            <wp:docPr id="10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2"/>
                    <pic:cNvPicPr>
                      <a:picLocks noChangeAspect="1"/>
                    </pic:cNvPicPr>
                  </pic:nvPicPr>
                  <pic:blipFill>
                    <a:blip r:embed="rId48"/>
                    <a:stretch>
                      <a:fillRect/>
                    </a:stretch>
                  </pic:blipFill>
                  <pic:spPr>
                    <a:xfrm>
                      <a:off x="0" y="0"/>
                      <a:ext cx="8387715" cy="389826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02320" cy="4099560"/>
            <wp:effectExtent l="0" t="0" r="17780" b="15240"/>
            <wp:docPr id="10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3"/>
                    <pic:cNvPicPr>
                      <a:picLocks noChangeAspect="1"/>
                    </pic:cNvPicPr>
                  </pic:nvPicPr>
                  <pic:blipFill>
                    <a:blip r:embed="rId49"/>
                    <a:stretch>
                      <a:fillRect/>
                    </a:stretch>
                  </pic:blipFill>
                  <pic:spPr>
                    <a:xfrm>
                      <a:off x="0" y="0"/>
                      <a:ext cx="8402320" cy="409956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92795" cy="4259580"/>
            <wp:effectExtent l="0" t="0" r="8255" b="7620"/>
            <wp:docPr id="11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4"/>
                    <pic:cNvPicPr>
                      <a:picLocks noChangeAspect="1"/>
                    </pic:cNvPicPr>
                  </pic:nvPicPr>
                  <pic:blipFill>
                    <a:blip r:embed="rId50"/>
                    <a:stretch>
                      <a:fillRect/>
                    </a:stretch>
                  </pic:blipFill>
                  <pic:spPr>
                    <a:xfrm>
                      <a:off x="0" y="0"/>
                      <a:ext cx="8392795" cy="4259580"/>
                    </a:xfrm>
                    <a:prstGeom prst="rect">
                      <a:avLst/>
                    </a:prstGeom>
                    <a:noFill/>
                    <a:ln>
                      <a:noFill/>
                    </a:ln>
                  </pic:spPr>
                </pic:pic>
              </a:graphicData>
            </a:graphic>
          </wp:inline>
        </w:drawing>
      </w:r>
    </w:p>
    <w:p>
      <w:pPr>
        <w:pStyle w:val="2"/>
        <w:numPr>
          <w:ilvl w:val="0"/>
          <w:numId w:val="2"/>
        </w:numPr>
        <w:ind w:left="425" w:leftChars="0" w:hanging="425" w:firstLineChars="0"/>
        <w:rPr>
          <w:color w:val="auto"/>
          <w:highlight w:val="none"/>
        </w:rPr>
      </w:pPr>
      <w:bookmarkStart w:id="92" w:name="_Toc13478"/>
      <w:r>
        <w:rPr>
          <w:rFonts w:hint="eastAsia"/>
          <w:color w:val="auto"/>
          <w:highlight w:val="none"/>
        </w:rPr>
        <w:t>区域</w:t>
      </w:r>
      <w:r>
        <w:rPr>
          <w:color w:val="auto"/>
          <w:highlight w:val="none"/>
        </w:rPr>
        <w:t>节能措施</w:t>
      </w:r>
      <w:bookmarkEnd w:id="92"/>
    </w:p>
    <w:p>
      <w:pPr>
        <w:pStyle w:val="3"/>
        <w:numPr>
          <w:ilvl w:val="1"/>
          <w:numId w:val="2"/>
        </w:numPr>
        <w:ind w:left="567" w:hanging="567"/>
        <w:rPr>
          <w:color w:val="auto"/>
          <w:highlight w:val="none"/>
        </w:rPr>
      </w:pPr>
      <w:bookmarkStart w:id="93" w:name="_Toc1013"/>
      <w:r>
        <w:rPr>
          <w:rFonts w:hint="eastAsia"/>
          <w:color w:val="auto"/>
          <w:highlight w:val="none"/>
        </w:rPr>
        <w:t>区域</w:t>
      </w:r>
      <w:r>
        <w:rPr>
          <w:color w:val="auto"/>
          <w:highlight w:val="none"/>
        </w:rPr>
        <w:t>节能技术措施</w:t>
      </w:r>
      <w:bookmarkEnd w:id="93"/>
    </w:p>
    <w:p>
      <w:pPr>
        <w:pStyle w:val="4"/>
        <w:numPr>
          <w:ilvl w:val="2"/>
          <w:numId w:val="2"/>
        </w:numPr>
        <w:ind w:left="709" w:hanging="709"/>
        <w:rPr>
          <w:color w:val="auto"/>
          <w:highlight w:val="none"/>
        </w:rPr>
      </w:pPr>
      <w:bookmarkStart w:id="94" w:name="_Toc9683"/>
      <w:r>
        <w:rPr>
          <w:rFonts w:hint="eastAsia"/>
          <w:color w:val="auto"/>
          <w:highlight w:val="none"/>
        </w:rPr>
        <w:t>行业</w:t>
      </w:r>
      <w:r>
        <w:rPr>
          <w:color w:val="auto"/>
          <w:highlight w:val="none"/>
        </w:rPr>
        <w:t>节能技术措施</w:t>
      </w:r>
      <w:bookmarkEnd w:id="94"/>
    </w:p>
    <w:p>
      <w:pPr>
        <w:pStyle w:val="5"/>
        <w:numPr>
          <w:ilvl w:val="3"/>
          <w:numId w:val="2"/>
        </w:numPr>
        <w:ind w:left="850" w:hanging="850" w:firstLineChars="0"/>
        <w:rPr>
          <w:color w:val="auto"/>
          <w:highlight w:val="none"/>
        </w:rPr>
      </w:pPr>
      <w:r>
        <w:rPr>
          <w:rFonts w:hint="eastAsia"/>
          <w:color w:val="auto"/>
          <w:highlight w:val="none"/>
        </w:rPr>
        <w:t>玻璃制造</w:t>
      </w:r>
      <w:r>
        <w:rPr>
          <w:color w:val="auto"/>
          <w:highlight w:val="none"/>
        </w:rPr>
        <w:t>行业节能技术措施</w:t>
      </w:r>
    </w:p>
    <w:p>
      <w:pPr>
        <w:ind w:firstLine="560"/>
        <w:rPr>
          <w:color w:val="auto"/>
          <w:highlight w:val="none"/>
        </w:rPr>
      </w:pPr>
      <w:r>
        <w:rPr>
          <w:rFonts w:hint="eastAsia"/>
          <w:color w:val="auto"/>
          <w:highlight w:val="none"/>
        </w:rPr>
        <w:t>（1）钛纳硅超级绝热材料保温节能技术</w:t>
      </w:r>
    </w:p>
    <w:p>
      <w:pPr>
        <w:ind w:firstLine="560"/>
        <w:rPr>
          <w:color w:val="auto"/>
          <w:highlight w:val="none"/>
        </w:rPr>
      </w:pPr>
      <w:r>
        <w:rPr>
          <w:rFonts w:hint="eastAsia"/>
          <w:color w:val="auto"/>
          <w:highlight w:val="none"/>
        </w:rPr>
        <w:t>玻璃窑炉的炉体保温材料一般为轻质保温砖、磷酸盐珠光体、珍珠岩等，这些保温材料的导热系数较高，通常在0.05 W/m</w:t>
      </w:r>
      <w:r>
        <w:rPr>
          <w:color w:val="auto"/>
          <w:highlight w:val="none"/>
        </w:rPr>
        <w:t>·</w:t>
      </w:r>
      <w:r>
        <w:rPr>
          <w:rFonts w:hint="eastAsia"/>
          <w:color w:val="auto"/>
          <w:highlight w:val="none"/>
        </w:rPr>
        <w:t>K（常温）以上，即使使用厚度较大，散热量仍然很大。玻璃窑炉体散热量可占玻璃熔化总能耗的1/3。而美国、日本等发达国家仅通过提高保温材料性就能取得约 30%的节能效果。</w:t>
      </w:r>
    </w:p>
    <w:p>
      <w:pPr>
        <w:ind w:firstLine="560"/>
        <w:rPr>
          <w:color w:val="auto"/>
          <w:highlight w:val="none"/>
        </w:rPr>
      </w:pPr>
      <w:r>
        <w:rPr>
          <w:rFonts w:hint="eastAsia"/>
          <w:color w:val="auto"/>
          <w:highlight w:val="none"/>
        </w:rPr>
        <w:t>由于钛纳硅超级绝热材料的绝热性能（</w:t>
      </w:r>
      <w:r>
        <w:rPr>
          <w:color w:val="auto"/>
          <w:highlight w:val="none"/>
        </w:rPr>
        <w:t>0.014~0.016</w:t>
      </w:r>
      <w:r>
        <w:rPr>
          <w:rFonts w:hint="eastAsia"/>
          <w:color w:val="auto"/>
          <w:highlight w:val="none"/>
        </w:rPr>
        <w:t>W/m</w:t>
      </w:r>
      <w:r>
        <w:rPr>
          <w:color w:val="auto"/>
          <w:highlight w:val="none"/>
        </w:rPr>
        <w:t>·</w:t>
      </w:r>
      <w:r>
        <w:rPr>
          <w:rFonts w:hint="eastAsia"/>
          <w:color w:val="auto"/>
          <w:highlight w:val="none"/>
        </w:rPr>
        <w:t>K）远远优于传统的绝热材料，所以在使用时表面能量损失极少，从而达到明显的节能效果或更优秀的保温设计方案；同时钛纳硅材料为A1级不燃材料，安全环保；使用效果稳定，寿命长。其</w:t>
      </w:r>
      <w:r>
        <w:rPr>
          <w:color w:val="auto"/>
          <w:highlight w:val="none"/>
        </w:rPr>
        <w:t>关键技术特点为：</w:t>
      </w:r>
      <w:r>
        <w:rPr>
          <w:rFonts w:hint="eastAsia"/>
          <w:color w:val="auto"/>
          <w:highlight w:val="none"/>
        </w:rPr>
        <w:t>①气凝胶中纳米级孔洞中的空气不能自由流动，消除了空气对流传热；②气凝胶中高达80%以上的成分是空气，固体成分少，且热传导路径细长，从而大大减轻了固体热传导；③纳米级孔洞的孔径（大部分为20-50nm）小于空气分子自由程（70nm），大大减弱了空气分子发生碰撞而形成的热传导；④存在大量的气固界面，并添加了特殊的遮光剂，大大阻隔了热辐射。</w:t>
      </w:r>
    </w:p>
    <w:p>
      <w:pPr>
        <w:ind w:firstLine="560"/>
        <w:rPr>
          <w:color w:val="auto"/>
          <w:highlight w:val="none"/>
        </w:rPr>
      </w:pPr>
      <w:r>
        <w:rPr>
          <w:rFonts w:hint="eastAsia"/>
          <w:color w:val="auto"/>
          <w:highlight w:val="none"/>
        </w:rPr>
        <w:t>该技术已经在浮法玻璃生产线上、陶瓷生产线、油田蒸汽管道、原油贮罐的罐顶保温、光热发电高温管道保温上成功使用，节能效果明显。其中，海南中航特玻材料有限公司应用</w:t>
      </w:r>
      <w:r>
        <w:rPr>
          <w:color w:val="auto"/>
          <w:highlight w:val="none"/>
        </w:rPr>
        <w:t>该技术</w:t>
      </w:r>
      <w:r>
        <w:rPr>
          <w:rFonts w:hint="eastAsia"/>
          <w:color w:val="auto"/>
          <w:highlight w:val="none"/>
        </w:rPr>
        <w:t>对窑炉的熔化部大碹、澄清部大碹、蓄热室大碹、蓄热室墙体、胸墙、小炉等部位，保温总面积871m</w:t>
      </w:r>
      <w:r>
        <w:rPr>
          <w:rFonts w:hint="eastAsia"/>
          <w:color w:val="auto"/>
          <w:highlight w:val="none"/>
          <w:vertAlign w:val="superscript"/>
        </w:rPr>
        <w:t>2</w:t>
      </w:r>
      <w:r>
        <w:rPr>
          <w:rFonts w:hint="eastAsia"/>
          <w:color w:val="auto"/>
          <w:highlight w:val="none"/>
        </w:rPr>
        <w:t>，钛纳硅超级绝热彩料使用2613m</w:t>
      </w:r>
      <w:r>
        <w:rPr>
          <w:rFonts w:hint="eastAsia"/>
          <w:color w:val="auto"/>
          <w:highlight w:val="none"/>
          <w:vertAlign w:val="superscript"/>
        </w:rPr>
        <w:t>2</w:t>
      </w:r>
      <w:r>
        <w:rPr>
          <w:rFonts w:hint="eastAsia"/>
          <w:color w:val="auto"/>
          <w:highlight w:val="none"/>
        </w:rPr>
        <w:t>。保温前单耗2164kcal/kg玻璃液，保温后2096kcal/kg玻璃液，节能率3.14%；江苏华尔润集团 6 号线采取</w:t>
      </w:r>
      <w:r>
        <w:rPr>
          <w:color w:val="auto"/>
          <w:highlight w:val="none"/>
        </w:rPr>
        <w:t>相同技术措施，</w:t>
      </w:r>
      <w:r>
        <w:rPr>
          <w:rFonts w:hint="eastAsia"/>
          <w:color w:val="auto"/>
          <w:highlight w:val="none"/>
        </w:rPr>
        <w:t>保温总面积897m</w:t>
      </w:r>
      <w:r>
        <w:rPr>
          <w:rFonts w:hint="eastAsia"/>
          <w:color w:val="auto"/>
          <w:highlight w:val="none"/>
          <w:vertAlign w:val="superscript"/>
        </w:rPr>
        <w:t>2</w:t>
      </w:r>
      <w:r>
        <w:rPr>
          <w:rFonts w:hint="eastAsia"/>
          <w:color w:val="auto"/>
          <w:highlight w:val="none"/>
        </w:rPr>
        <w:t>，钛纳硅超级绝热彩料使用 2690m</w:t>
      </w:r>
      <w:r>
        <w:rPr>
          <w:rFonts w:hint="eastAsia"/>
          <w:color w:val="auto"/>
          <w:highlight w:val="none"/>
          <w:vertAlign w:val="superscript"/>
        </w:rPr>
        <w:t>2</w:t>
      </w:r>
      <w:r>
        <w:rPr>
          <w:rFonts w:hint="eastAsia"/>
          <w:color w:val="auto"/>
          <w:highlight w:val="none"/>
        </w:rPr>
        <w:t>。保温前单耗6480.8kJ/kg玻璃液，保温后6202.9kJ/kg玻璃液，节能率 4.28%。</w:t>
      </w:r>
    </w:p>
    <w:p>
      <w:pPr>
        <w:pStyle w:val="58"/>
        <w:numPr>
          <w:ilvl w:val="0"/>
          <w:numId w:val="12"/>
        </w:numPr>
        <w:ind w:firstLineChars="0"/>
        <w:rPr>
          <w:color w:val="auto"/>
          <w:highlight w:val="none"/>
        </w:rPr>
      </w:pPr>
      <w:r>
        <w:rPr>
          <w:rFonts w:hint="eastAsia"/>
          <w:color w:val="auto"/>
          <w:highlight w:val="none"/>
        </w:rPr>
        <w:t>高温远红外涂料技术</w:t>
      </w:r>
    </w:p>
    <w:p>
      <w:pPr>
        <w:ind w:firstLine="560"/>
        <w:rPr>
          <w:color w:val="auto"/>
          <w:highlight w:val="none"/>
        </w:rPr>
      </w:pPr>
      <w:r>
        <w:rPr>
          <w:rFonts w:hint="eastAsia"/>
          <w:color w:val="auto"/>
          <w:highlight w:val="none"/>
        </w:rPr>
        <w:t>高温远红外涂料是由强辐射材料组成，在高温下辐射远红外波，这些远红外波的穿透能力极强，能穿透被加热物体和燃料本身，使被加热物体里外同时受热。同时远红外波穿透燃料时，使燃料分子吸收远红外波而产生能级跃迁，释放能量，改变燃料的燃烧状态，使燃料充分燃烧。</w:t>
      </w:r>
    </w:p>
    <w:p>
      <w:pPr>
        <w:ind w:firstLine="560"/>
        <w:rPr>
          <w:color w:val="auto"/>
          <w:highlight w:val="none"/>
        </w:rPr>
      </w:pPr>
      <w:r>
        <w:rPr>
          <w:rFonts w:hint="eastAsia"/>
          <w:color w:val="auto"/>
          <w:highlight w:val="none"/>
        </w:rPr>
        <w:t>远红外线辐射涂料节能的基本原理就是提高被加热介质表面吸收率，增大辐射能传递比例。为此，通常的做法是在被加热介质表面涂刷一层高吸收率材料或在炉壁涂刷一层高发射率材料。高温远红外辐射涂料的节能机理体现为：①</w:t>
      </w:r>
      <w:r>
        <w:rPr>
          <w:color w:val="auto"/>
          <w:highlight w:val="none"/>
        </w:rPr>
        <w:t>增加炉内壁黑度（即增加发热率），增强加热炉内壁对热源传来热量吸收后的辐射传热，而反射部分相应减少，这部分热量很容易被燃烧产物（</w:t>
      </w:r>
      <w:r>
        <w:rPr>
          <w:rFonts w:hint="eastAsia"/>
          <w:color w:val="auto"/>
          <w:highlight w:val="none"/>
        </w:rPr>
        <w:t>CO</w:t>
      </w:r>
      <w:r>
        <w:rPr>
          <w:color w:val="auto"/>
          <w:highlight w:val="none"/>
          <w:vertAlign w:val="subscript"/>
        </w:rPr>
        <w:t>2</w:t>
      </w:r>
      <w:r>
        <w:rPr>
          <w:color w:val="auto"/>
          <w:highlight w:val="none"/>
        </w:rPr>
        <w:t>和</w:t>
      </w:r>
      <w:r>
        <w:rPr>
          <w:rFonts w:hint="eastAsia"/>
          <w:color w:val="auto"/>
          <w:highlight w:val="none"/>
        </w:rPr>
        <w:t>H</w:t>
      </w:r>
      <w:r>
        <w:rPr>
          <w:rFonts w:hint="eastAsia"/>
          <w:color w:val="auto"/>
          <w:highlight w:val="none"/>
          <w:vertAlign w:val="subscript"/>
        </w:rPr>
        <w:t>2</w:t>
      </w:r>
      <w:r>
        <w:rPr>
          <w:rFonts w:hint="eastAsia"/>
          <w:color w:val="auto"/>
          <w:highlight w:val="none"/>
        </w:rPr>
        <w:t>O</w:t>
      </w:r>
      <w:r>
        <w:rPr>
          <w:color w:val="auto"/>
          <w:highlight w:val="none"/>
        </w:rPr>
        <w:t>等）吸收而随烟气排出炉外。加热炉内衬用耐火材料常温下的黑度一般为</w:t>
      </w:r>
      <w:r>
        <w:rPr>
          <w:rFonts w:hint="eastAsia"/>
          <w:color w:val="auto"/>
          <w:highlight w:val="none"/>
        </w:rPr>
        <w:t>0</w:t>
      </w:r>
      <w:r>
        <w:rPr>
          <w:color w:val="auto"/>
          <w:highlight w:val="none"/>
        </w:rPr>
        <w:t>.6~0.8，而一段炉内壁常用的耐火纤维，黑度仅</w:t>
      </w:r>
      <w:r>
        <w:rPr>
          <w:rFonts w:hint="eastAsia"/>
          <w:color w:val="auto"/>
          <w:highlight w:val="none"/>
        </w:rPr>
        <w:t>0</w:t>
      </w:r>
      <w:r>
        <w:rPr>
          <w:color w:val="auto"/>
          <w:highlight w:val="none"/>
        </w:rPr>
        <w:t>.3~0.4，随着炉温的升高黑度一般大幅度下降，而远红外辐射涂料能减缓这种下降，有时甚至可以使其升高。</w:t>
      </w:r>
      <w:r>
        <w:rPr>
          <w:rFonts w:hint="eastAsia"/>
          <w:color w:val="auto"/>
          <w:highlight w:val="none"/>
        </w:rPr>
        <w:t>②</w:t>
      </w:r>
      <w:r>
        <w:rPr>
          <w:color w:val="auto"/>
          <w:highlight w:val="none"/>
        </w:rPr>
        <w:t>由于内壁的吸收和辐射作用，改变了炉内热辐射的波谱分布，将热源发出的间断式波谱转变成连续波谱，从而利于被加热物体吸收，减少被燃烧产物带走的热量。</w:t>
      </w:r>
      <w:r>
        <w:rPr>
          <w:rFonts w:hint="eastAsia"/>
          <w:color w:val="auto"/>
          <w:highlight w:val="none"/>
        </w:rPr>
        <w:t>③</w:t>
      </w:r>
      <w:r>
        <w:rPr>
          <w:color w:val="auto"/>
          <w:highlight w:val="none"/>
        </w:rPr>
        <w:t>高温辐射能量大多集中在1~5µm波段，如</w:t>
      </w:r>
      <w:r>
        <w:rPr>
          <w:rFonts w:hint="eastAsia"/>
          <w:color w:val="auto"/>
          <w:highlight w:val="none"/>
        </w:rPr>
        <w:t>1</w:t>
      </w:r>
      <w:r>
        <w:rPr>
          <w:color w:val="auto"/>
          <w:highlight w:val="none"/>
        </w:rPr>
        <w:t>000</w:t>
      </w:r>
      <w:r>
        <w:rPr>
          <w:rFonts w:hint="eastAsia" w:ascii="宋体" w:hAnsi="宋体" w:cs="宋体"/>
          <w:color w:val="auto"/>
          <w:highlight w:val="none"/>
          <w:lang w:eastAsia="ja-JP"/>
        </w:rPr>
        <w:t>℃</w:t>
      </w:r>
      <w:r>
        <w:rPr>
          <w:rFonts w:hint="eastAsia"/>
          <w:color w:val="auto"/>
          <w:highlight w:val="none"/>
        </w:rPr>
        <w:t>~1</w:t>
      </w:r>
      <w:r>
        <w:rPr>
          <w:color w:val="auto"/>
          <w:highlight w:val="none"/>
        </w:rPr>
        <w:t>300</w:t>
      </w:r>
      <w:r>
        <w:rPr>
          <w:rFonts w:hint="eastAsia" w:ascii="宋体" w:hAnsi="宋体" w:cs="宋体"/>
          <w:color w:val="auto"/>
          <w:highlight w:val="none"/>
          <w:lang w:eastAsia="ja-JP"/>
        </w:rPr>
        <w:t>℃</w:t>
      </w:r>
      <w:r>
        <w:rPr>
          <w:color w:val="auto"/>
          <w:highlight w:val="none"/>
        </w:rPr>
        <w:t>时，分别有</w:t>
      </w:r>
      <w:r>
        <w:rPr>
          <w:rFonts w:hint="eastAsia"/>
          <w:color w:val="auto"/>
          <w:highlight w:val="none"/>
        </w:rPr>
        <w:t>7</w:t>
      </w:r>
      <w:r>
        <w:rPr>
          <w:color w:val="auto"/>
          <w:highlight w:val="none"/>
        </w:rPr>
        <w:t>6%和85%的辐射能量集中在这一波段内，而一般的耐火材料在这一波段的发射率很低，对高温辐射不利，高温远红外辐射涂料可以弥补这一不足。由于被加热物体在不同加热温度下所辐射的频率不一样，因此，选用与被加热物体相匹配的远红外辐射频率加热，可大大提高其加热效率，并能保证加热质量。</w:t>
      </w:r>
    </w:p>
    <w:p>
      <w:pPr>
        <w:ind w:firstLine="560"/>
        <w:rPr>
          <w:color w:val="auto"/>
          <w:highlight w:val="none"/>
        </w:rPr>
      </w:pPr>
      <w:r>
        <w:rPr>
          <w:rFonts w:hint="eastAsia"/>
          <w:color w:val="auto"/>
          <w:highlight w:val="none"/>
        </w:rPr>
        <w:t>辐射涂料具有发射率高、导热系数小、气密性好、耐火度高、耐腐蚀、施工简便迅速等优点，可显著增强炉内的热传递效果，涂层耐热度很高，远红外线辐射涂料可</w:t>
      </w:r>
      <w:r>
        <w:rPr>
          <w:color w:val="auto"/>
          <w:highlight w:val="none"/>
        </w:rPr>
        <w:t>喷涂在玻璃</w:t>
      </w:r>
      <w:r>
        <w:rPr>
          <w:rFonts w:hint="eastAsia"/>
          <w:color w:val="auto"/>
          <w:highlight w:val="none"/>
        </w:rPr>
        <w:t>加热炉、</w:t>
      </w:r>
      <w:r>
        <w:rPr>
          <w:color w:val="auto"/>
          <w:highlight w:val="none"/>
        </w:rPr>
        <w:t>热弯炉</w:t>
      </w:r>
      <w:r>
        <w:rPr>
          <w:rFonts w:hint="eastAsia"/>
          <w:color w:val="auto"/>
          <w:highlight w:val="none"/>
        </w:rPr>
        <w:t>炉衬内高铝陶纤板上，一般厚度在</w:t>
      </w:r>
      <w:r>
        <w:rPr>
          <w:color w:val="auto"/>
          <w:highlight w:val="none"/>
        </w:rPr>
        <w:t>0.5~0.7mm</w:t>
      </w:r>
      <w:r>
        <w:rPr>
          <w:rFonts w:hint="eastAsia"/>
          <w:color w:val="auto"/>
          <w:highlight w:val="none"/>
        </w:rPr>
        <w:t>范围，可增加黑度到</w:t>
      </w:r>
      <w:r>
        <w:rPr>
          <w:color w:val="auto"/>
          <w:highlight w:val="none"/>
        </w:rPr>
        <w:t>0.93</w:t>
      </w:r>
      <w:r>
        <w:rPr>
          <w:rFonts w:hint="eastAsia"/>
          <w:color w:val="auto"/>
          <w:highlight w:val="none"/>
        </w:rPr>
        <w:t>，提高炉内衬壁黑度达到强化炉膛内的热交换效果，达到节能降耗的目的。</w:t>
      </w:r>
    </w:p>
    <w:p>
      <w:pPr>
        <w:pStyle w:val="5"/>
        <w:numPr>
          <w:ilvl w:val="3"/>
          <w:numId w:val="2"/>
        </w:numPr>
        <w:ind w:left="850" w:hanging="850" w:firstLineChars="0"/>
        <w:rPr>
          <w:color w:val="auto"/>
          <w:highlight w:val="none"/>
        </w:rPr>
      </w:pPr>
      <w:r>
        <w:rPr>
          <w:rFonts w:hint="eastAsia"/>
          <w:color w:val="auto"/>
          <w:highlight w:val="none"/>
        </w:rPr>
        <w:t>食品</w:t>
      </w:r>
      <w:r>
        <w:rPr>
          <w:color w:val="auto"/>
          <w:highlight w:val="none"/>
        </w:rPr>
        <w:t>饮料行业</w:t>
      </w:r>
      <w:r>
        <w:rPr>
          <w:rFonts w:hint="eastAsia"/>
          <w:color w:val="auto"/>
          <w:highlight w:val="none"/>
        </w:rPr>
        <w:t>节能技术措施</w:t>
      </w:r>
    </w:p>
    <w:p>
      <w:pPr>
        <w:ind w:firstLine="560"/>
        <w:rPr>
          <w:color w:val="auto"/>
          <w:highlight w:val="none"/>
        </w:rPr>
      </w:pPr>
      <w:r>
        <w:rPr>
          <w:rFonts w:hint="eastAsia"/>
          <w:color w:val="auto"/>
          <w:highlight w:val="none"/>
        </w:rPr>
        <w:t>（1）提高水资源</w:t>
      </w:r>
      <w:r>
        <w:rPr>
          <w:color w:val="auto"/>
          <w:highlight w:val="none"/>
        </w:rPr>
        <w:t>利用率</w:t>
      </w:r>
    </w:p>
    <w:p>
      <w:pPr>
        <w:ind w:firstLine="560"/>
        <w:rPr>
          <w:color w:val="auto"/>
          <w:highlight w:val="none"/>
        </w:rPr>
      </w:pPr>
      <w:r>
        <w:rPr>
          <w:rFonts w:hint="eastAsia"/>
          <w:color w:val="auto"/>
          <w:highlight w:val="none"/>
        </w:rPr>
        <w:t>1）冷凝水回收再利用：建立蒸汽冷凝水回收网络。回收冷凝水可用作锅炉补水，也可用于其他用热设备加热，如温瓶、原水加热等，以节约能耗。</w:t>
      </w:r>
    </w:p>
    <w:p>
      <w:pPr>
        <w:ind w:firstLine="560"/>
        <w:rPr>
          <w:color w:val="auto"/>
          <w:highlight w:val="none"/>
        </w:rPr>
      </w:pPr>
      <w:r>
        <w:rPr>
          <w:rFonts w:hint="eastAsia"/>
          <w:color w:val="auto"/>
          <w:highlight w:val="none"/>
        </w:rPr>
        <w:t>2）选用高效环保的节水型冷却塔，在冷却循环系统中采用防腐、阻垢、微生物处理技术，采用旁滤器，减少补水量。也可将回收冲瓶水用于冷却塔补水、预洗瓶洗箱和清洁用水。超滤反洗水回收到原水箱重复使用。碳缸反冲洗水，通过化学处理后再利用。</w:t>
      </w:r>
    </w:p>
    <w:p>
      <w:pPr>
        <w:ind w:firstLine="560"/>
        <w:rPr>
          <w:color w:val="auto"/>
          <w:highlight w:val="none"/>
        </w:rPr>
      </w:pPr>
      <w:r>
        <w:rPr>
          <w:color w:val="auto"/>
          <w:highlight w:val="none"/>
        </w:rPr>
        <w:t>3</w:t>
      </w:r>
      <w:r>
        <w:rPr>
          <w:rFonts w:hint="eastAsia"/>
          <w:color w:val="auto"/>
          <w:highlight w:val="none"/>
        </w:rPr>
        <w:t>）</w:t>
      </w:r>
      <w:r>
        <w:rPr>
          <w:color w:val="auto"/>
          <w:highlight w:val="none"/>
        </w:rPr>
        <w:t xml:space="preserve">RO </w:t>
      </w:r>
      <w:r>
        <w:rPr>
          <w:rFonts w:hint="eastAsia"/>
          <w:color w:val="auto"/>
          <w:highlight w:val="none"/>
        </w:rPr>
        <w:t xml:space="preserve">浓水的利用：收集反渗透浓水，加阻垢剂，通过高压泵进行反渗透处理后，添加消毒剂进行混合，回至原水端作自来水使用，也可用于反冲洗砂缸、碳缸。排出浓水用于清洁、绿化等。选择适合的 </w:t>
      </w:r>
      <w:r>
        <w:rPr>
          <w:color w:val="auto"/>
          <w:highlight w:val="none"/>
        </w:rPr>
        <w:t xml:space="preserve">RO </w:t>
      </w:r>
      <w:r>
        <w:rPr>
          <w:rFonts w:hint="eastAsia"/>
          <w:color w:val="auto"/>
          <w:highlight w:val="none"/>
        </w:rPr>
        <w:t xml:space="preserve">膜，调整阻垢剂添加量，产水率可提供 </w:t>
      </w:r>
      <w:r>
        <w:rPr>
          <w:color w:val="auto"/>
          <w:highlight w:val="none"/>
        </w:rPr>
        <w:t>75%</w:t>
      </w:r>
      <w:r>
        <w:rPr>
          <w:rFonts w:hint="eastAsia"/>
          <w:color w:val="auto"/>
          <w:highlight w:val="none"/>
        </w:rPr>
        <w:t>以上。</w:t>
      </w:r>
    </w:p>
    <w:p>
      <w:pPr>
        <w:ind w:firstLine="560"/>
        <w:rPr>
          <w:color w:val="auto"/>
          <w:highlight w:val="none"/>
        </w:rPr>
      </w:pPr>
      <w:r>
        <w:rPr>
          <w:rFonts w:hint="eastAsia"/>
          <w:color w:val="auto"/>
          <w:highlight w:val="none"/>
        </w:rPr>
        <w:t>4）利用干润滑技术：生产线由干润滑代替湿润滑，无需对润滑剂稀释，可节约软水，保持车间清洁。</w:t>
      </w:r>
    </w:p>
    <w:p>
      <w:pPr>
        <w:ind w:firstLine="560"/>
        <w:rPr>
          <w:color w:val="auto"/>
          <w:highlight w:val="none"/>
        </w:rPr>
      </w:pPr>
      <w:r>
        <w:rPr>
          <w:rFonts w:hint="eastAsia"/>
          <w:color w:val="auto"/>
          <w:highlight w:val="none"/>
        </w:rPr>
        <w:t>（2）反渗透系统</w:t>
      </w:r>
      <w:r>
        <w:rPr>
          <w:color w:val="auto"/>
          <w:highlight w:val="none"/>
        </w:rPr>
        <w:t>能量回收</w:t>
      </w:r>
    </w:p>
    <w:p>
      <w:pPr>
        <w:ind w:firstLine="560"/>
        <w:rPr>
          <w:color w:val="auto"/>
          <w:highlight w:val="none"/>
        </w:rPr>
      </w:pPr>
      <w:r>
        <w:rPr>
          <w:rFonts w:hint="eastAsia"/>
          <w:color w:val="auto"/>
          <w:highlight w:val="none"/>
        </w:rPr>
        <w:t>饮料</w:t>
      </w:r>
      <w:r>
        <w:rPr>
          <w:color w:val="auto"/>
          <w:highlight w:val="none"/>
        </w:rPr>
        <w:t>行业常用到</w:t>
      </w:r>
      <w:r>
        <w:rPr>
          <w:rFonts w:hint="eastAsia"/>
          <w:color w:val="auto"/>
          <w:highlight w:val="none"/>
        </w:rPr>
        <w:t>反渗透产水</w:t>
      </w:r>
      <w:r>
        <w:rPr>
          <w:color w:val="auto"/>
          <w:highlight w:val="none"/>
        </w:rPr>
        <w:t>装置</w:t>
      </w:r>
      <w:r>
        <w:rPr>
          <w:rFonts w:hint="eastAsia"/>
          <w:color w:val="auto"/>
          <w:highlight w:val="none"/>
        </w:rPr>
        <w:t>，在反渗透系统</w:t>
      </w:r>
      <w:r>
        <w:rPr>
          <w:color w:val="auto"/>
          <w:highlight w:val="none"/>
        </w:rPr>
        <w:t>中</w:t>
      </w:r>
      <w:r>
        <w:rPr>
          <w:rFonts w:hint="eastAsia"/>
          <w:color w:val="auto"/>
          <w:highlight w:val="none"/>
        </w:rPr>
        <w:t>采用先进</w:t>
      </w:r>
      <w:r>
        <w:rPr>
          <w:color w:val="auto"/>
          <w:highlight w:val="none"/>
        </w:rPr>
        <w:t>的</w:t>
      </w:r>
      <w:r>
        <w:rPr>
          <w:rFonts w:hint="eastAsia"/>
          <w:color w:val="auto"/>
          <w:highlight w:val="none"/>
        </w:rPr>
        <w:t>能量回收装置可有效降低能耗，降低运行费用。反渗透装置高压浓水排放量可占进水流量的60％～70％，压力一般从</w:t>
      </w:r>
      <w:r>
        <w:rPr>
          <w:color w:val="auto"/>
          <w:highlight w:val="none"/>
        </w:rPr>
        <w:t>0.5~1.0</w:t>
      </w:r>
      <w:r>
        <w:rPr>
          <w:rFonts w:hint="eastAsia"/>
          <w:color w:val="auto"/>
          <w:highlight w:val="none"/>
        </w:rPr>
        <w:t>MPa降至常压，能量损失约70％。为降低淡化水的操作能耗，可在浓盐水排放管线上安装能量回收装置。用于回收高压浓盐水能量的设备有涡轮</w:t>
      </w:r>
      <w:r>
        <w:rPr>
          <w:rFonts w:hint="eastAsia" w:asciiTheme="minorEastAsia" w:hAnsiTheme="minorEastAsia" w:eastAsiaTheme="minorEastAsia"/>
          <w:color w:val="auto"/>
          <w:highlight w:val="none"/>
        </w:rPr>
        <w:t>机(包括冲击式水轮机)，各种旋转泵(离心泵和叶片泵)</w:t>
      </w:r>
      <w:r>
        <w:rPr>
          <w:rFonts w:hint="eastAsia"/>
          <w:color w:val="auto"/>
          <w:highlight w:val="none"/>
        </w:rPr>
        <w:t>，正λ移泵和流动装置。通常涡轮机和旋转泵仅限于大型海水淡化装置，小型装置多用其他回收装置。一般的能量回收装置可以回收浓盐水能量的60％~90％，大大降低了运行能耗</w:t>
      </w:r>
      <w:r>
        <w:rPr>
          <w:color w:val="auto"/>
          <w:highlight w:val="none"/>
        </w:rPr>
        <w:t>和</w:t>
      </w:r>
      <w:r>
        <w:rPr>
          <w:rFonts w:hint="eastAsia"/>
          <w:color w:val="auto"/>
          <w:highlight w:val="none"/>
        </w:rPr>
        <w:t>费用。</w:t>
      </w:r>
    </w:p>
    <w:p>
      <w:pPr>
        <w:pStyle w:val="5"/>
        <w:numPr>
          <w:ilvl w:val="3"/>
          <w:numId w:val="2"/>
        </w:numPr>
        <w:ind w:left="850" w:hanging="850" w:firstLineChars="0"/>
        <w:rPr>
          <w:color w:val="auto"/>
          <w:highlight w:val="none"/>
        </w:rPr>
      </w:pPr>
      <w:r>
        <w:rPr>
          <w:rFonts w:hint="eastAsia"/>
          <w:color w:val="auto"/>
          <w:highlight w:val="none"/>
        </w:rPr>
        <w:t>先进</w:t>
      </w:r>
      <w:r>
        <w:rPr>
          <w:color w:val="auto"/>
          <w:highlight w:val="none"/>
        </w:rPr>
        <w:t>制造行业节能技术措施</w:t>
      </w:r>
    </w:p>
    <w:p>
      <w:pPr>
        <w:ind w:firstLine="560"/>
        <w:rPr>
          <w:color w:val="auto"/>
          <w:highlight w:val="none"/>
        </w:rPr>
      </w:pPr>
      <w:r>
        <w:rPr>
          <w:rFonts w:hint="eastAsia"/>
          <w:color w:val="auto"/>
          <w:highlight w:val="none"/>
        </w:rPr>
        <w:t>（1）焊接节能技术措施</w:t>
      </w:r>
    </w:p>
    <w:p>
      <w:pPr>
        <w:pStyle w:val="58"/>
        <w:numPr>
          <w:ilvl w:val="1"/>
          <w:numId w:val="13"/>
        </w:numPr>
        <w:ind w:left="0" w:firstLine="560"/>
        <w:rPr>
          <w:color w:val="auto"/>
          <w:highlight w:val="none"/>
        </w:rPr>
      </w:pPr>
      <w:r>
        <w:rPr>
          <w:rFonts w:hint="eastAsia"/>
          <w:color w:val="auto"/>
          <w:highlight w:val="none"/>
        </w:rPr>
        <w:t>根据材料的材质不同及厚度不同采用不同的焊接工艺，根据实际情况选用气体保护焊、电子束焊、自动埋弧焊、电阻缝焊或激光焊等工艺。其中，薄板及中、小型结构件的电弧焊接宜采用气体保护焊；大批量生产时，密封薄板的钢制件的焊接宜采用。</w:t>
      </w:r>
    </w:p>
    <w:p>
      <w:pPr>
        <w:pStyle w:val="58"/>
        <w:numPr>
          <w:ilvl w:val="1"/>
          <w:numId w:val="13"/>
        </w:numPr>
        <w:ind w:left="0" w:firstLine="560"/>
        <w:rPr>
          <w:color w:val="auto"/>
          <w:highlight w:val="none"/>
        </w:rPr>
      </w:pPr>
      <w:r>
        <w:rPr>
          <w:rFonts w:hint="eastAsia"/>
          <w:color w:val="auto"/>
          <w:highlight w:val="none"/>
        </w:rPr>
        <w:t>批量生产的管材、棒材的对接采用适宜的焊接工艺：管材的对接宜采用摩擦焊、熔化极置弧焊或鸽极氢弧焊；棒材的对接宜采用摩擦焊、脉冲闪光焊或磁控旋弧焊。</w:t>
      </w:r>
    </w:p>
    <w:p>
      <w:pPr>
        <w:pStyle w:val="58"/>
        <w:numPr>
          <w:ilvl w:val="1"/>
          <w:numId w:val="13"/>
        </w:numPr>
        <w:ind w:left="0" w:firstLine="560"/>
        <w:rPr>
          <w:color w:val="auto"/>
          <w:highlight w:val="none"/>
        </w:rPr>
      </w:pPr>
      <w:r>
        <w:rPr>
          <w:rFonts w:hint="eastAsia"/>
          <w:color w:val="auto"/>
          <w:highlight w:val="none"/>
        </w:rPr>
        <w:t>点焊工艺，大批量生产时，宜采用凸焊工艺；低碳铜板的点焊应采用硬规范工艺。</w:t>
      </w:r>
    </w:p>
    <w:p>
      <w:pPr>
        <w:pStyle w:val="58"/>
        <w:numPr>
          <w:ilvl w:val="1"/>
          <w:numId w:val="13"/>
        </w:numPr>
        <w:ind w:left="0" w:firstLine="560"/>
        <w:rPr>
          <w:color w:val="auto"/>
          <w:highlight w:val="none"/>
        </w:rPr>
      </w:pPr>
      <w:r>
        <w:rPr>
          <w:rFonts w:hint="eastAsia"/>
          <w:color w:val="auto"/>
          <w:highlight w:val="none"/>
        </w:rPr>
        <w:t>采用先进适宜的下料或坡口加工：采用计算机辅助套料，并根据不同材料、不同厚度选择数控切割、数控等离子切割、激光切割、水力切割、剪切设备或镜削等下料工艺。</w:t>
      </w:r>
    </w:p>
    <w:p>
      <w:pPr>
        <w:pStyle w:val="58"/>
        <w:numPr>
          <w:ilvl w:val="1"/>
          <w:numId w:val="13"/>
        </w:numPr>
        <w:ind w:left="0" w:firstLine="560"/>
        <w:rPr>
          <w:color w:val="auto"/>
          <w:highlight w:val="none"/>
        </w:rPr>
      </w:pPr>
      <w:r>
        <w:rPr>
          <w:rFonts w:hint="eastAsia"/>
          <w:color w:val="auto"/>
          <w:highlight w:val="none"/>
        </w:rPr>
        <w:t>焊条及焊剂的烘干采用远红外烘干设备。焊接件的预热采用电为热源时，宜采用远红外加热装置。</w:t>
      </w:r>
    </w:p>
    <w:p>
      <w:pPr>
        <w:pStyle w:val="58"/>
        <w:numPr>
          <w:ilvl w:val="1"/>
          <w:numId w:val="13"/>
        </w:numPr>
        <w:ind w:left="0" w:firstLine="560"/>
        <w:rPr>
          <w:color w:val="auto"/>
          <w:highlight w:val="none"/>
        </w:rPr>
      </w:pPr>
      <w:r>
        <w:rPr>
          <w:rFonts w:hint="eastAsia"/>
          <w:color w:val="auto"/>
          <w:highlight w:val="none"/>
        </w:rPr>
        <w:t>焊接件的焊接宜采用焊接夹具及焊接变位机、滚轮架及焊接操作机等机械化装置；批量生产时，宜采用焊接机器人或焊接专机。</w:t>
      </w:r>
    </w:p>
    <w:p>
      <w:pPr>
        <w:pStyle w:val="58"/>
        <w:numPr>
          <w:ilvl w:val="1"/>
          <w:numId w:val="13"/>
        </w:numPr>
        <w:ind w:left="0" w:firstLine="560"/>
        <w:rPr>
          <w:color w:val="auto"/>
          <w:highlight w:val="none"/>
        </w:rPr>
      </w:pPr>
      <w:r>
        <w:rPr>
          <w:rFonts w:hint="eastAsia"/>
          <w:color w:val="auto"/>
          <w:highlight w:val="none"/>
        </w:rPr>
        <w:t>手工电弧焊电源设备宜采用逆变式电源；当采用直流电源时，宜选用整流电源。</w:t>
      </w:r>
    </w:p>
    <w:p>
      <w:pPr>
        <w:pStyle w:val="58"/>
        <w:numPr>
          <w:ilvl w:val="1"/>
          <w:numId w:val="13"/>
        </w:numPr>
        <w:ind w:left="0" w:firstLine="560"/>
        <w:rPr>
          <w:color w:val="auto"/>
          <w:highlight w:val="none"/>
        </w:rPr>
      </w:pPr>
      <w:r>
        <w:rPr>
          <w:rFonts w:hint="eastAsia"/>
          <w:color w:val="auto"/>
          <w:highlight w:val="none"/>
        </w:rPr>
        <w:t>点焊设备的选用：大批量生产时，宜采用焊接机械手或焊接机器人；产品品种单一时，宜采用多点焊机；宜采用三相中频点焊机、次级整流式点焊机或绝缘栅双极晶体管式（IGBT）逆变焊机；配置悬挂式点焊机时，宜采用焊枪与变压器一体式焊机。</w:t>
      </w:r>
    </w:p>
    <w:p>
      <w:pPr>
        <w:pStyle w:val="58"/>
        <w:numPr>
          <w:ilvl w:val="1"/>
          <w:numId w:val="13"/>
        </w:numPr>
        <w:ind w:left="0" w:firstLine="560"/>
        <w:rPr>
          <w:color w:val="auto"/>
          <w:highlight w:val="none"/>
        </w:rPr>
      </w:pPr>
      <w:r>
        <w:rPr>
          <w:rFonts w:hint="eastAsia"/>
          <w:color w:val="auto"/>
          <w:highlight w:val="none"/>
        </w:rPr>
        <w:t>焊接件焊前除锈清理工艺：单件、小批量生产宜采用电动钢丝刷或砂页轮除锈；大批量生产宜采用抛丸或砂页轮预处理生产线。</w:t>
      </w:r>
    </w:p>
    <w:p>
      <w:pPr>
        <w:ind w:firstLine="560"/>
        <w:rPr>
          <w:color w:val="auto"/>
          <w:highlight w:val="none"/>
        </w:rPr>
      </w:pPr>
      <w:r>
        <w:rPr>
          <w:rFonts w:hint="eastAsia"/>
          <w:color w:val="auto"/>
          <w:highlight w:val="none"/>
        </w:rPr>
        <w:t>（2）涂装节能技术措施</w:t>
      </w:r>
    </w:p>
    <w:p>
      <w:pPr>
        <w:ind w:firstLine="560"/>
        <w:rPr>
          <w:color w:val="auto"/>
          <w:highlight w:val="none"/>
        </w:rPr>
      </w:pPr>
      <w:r>
        <w:rPr>
          <w:rFonts w:hint="eastAsia"/>
          <w:color w:val="auto"/>
          <w:highlight w:val="none"/>
        </w:rPr>
        <w:t>1）应用涂料循环技术。如超滤法、冷却法和静电吸附法回收水性漆技术、过喷漆雾的水性漆回收技术及粉末浆再循环利用技术，可使涂装线的涂料利用率得到很大提高。</w:t>
      </w:r>
    </w:p>
    <w:p>
      <w:pPr>
        <w:ind w:firstLine="560"/>
        <w:rPr>
          <w:color w:val="auto"/>
          <w:highlight w:val="none"/>
        </w:rPr>
      </w:pPr>
      <w:r>
        <w:rPr>
          <w:rFonts w:hint="eastAsia"/>
          <w:color w:val="auto"/>
          <w:highlight w:val="none"/>
        </w:rPr>
        <w:t>2）设置干式喷漆室。干式喷漆指捕捉过喷漆雾不采用水洗的方式，而采用折流板、滤网、滤棉等过滤漆雾。由于干式喷漆室无水，在循环风式喷漆室中无需对空气进行除湿调温，有效降低了动能成本。</w:t>
      </w:r>
    </w:p>
    <w:p>
      <w:pPr>
        <w:ind w:firstLine="560"/>
        <w:rPr>
          <w:color w:val="auto"/>
          <w:highlight w:val="none"/>
        </w:rPr>
      </w:pPr>
      <w:r>
        <w:rPr>
          <w:rFonts w:hint="eastAsia"/>
          <w:color w:val="auto"/>
          <w:highlight w:val="none"/>
        </w:rPr>
        <w:t>3）烘干采用辐射加对流形式或采用循环对流加热方式。辐射加对流形式即烘干炉前端为辐射加热区，后端为对流加热区，可加快工件升温速度，缩短工件升温时间，在节能的同时可防止灰尘沾附在湿涂层上，提高涂层外观质量。</w:t>
      </w:r>
    </w:p>
    <w:p>
      <w:pPr>
        <w:ind w:firstLine="560"/>
        <w:rPr>
          <w:color w:val="auto"/>
          <w:highlight w:val="none"/>
        </w:rPr>
      </w:pPr>
      <w:r>
        <w:rPr>
          <w:rFonts w:hint="eastAsia"/>
          <w:color w:val="auto"/>
          <w:highlight w:val="none"/>
        </w:rPr>
        <w:t>4）对涂装废气进行余热回收。对烘干炉产生的废气进行处理，燃烧产生的热量进行回收，一般采用两种方式：①废气焚烧热烈回收装置；②蓄热式热力焚化装置。</w:t>
      </w:r>
    </w:p>
    <w:p>
      <w:pPr>
        <w:ind w:firstLine="560"/>
        <w:rPr>
          <w:color w:val="auto"/>
          <w:highlight w:val="none"/>
        </w:rPr>
      </w:pPr>
      <w:r>
        <w:rPr>
          <w:rFonts w:hint="eastAsia"/>
          <w:color w:val="auto"/>
          <w:highlight w:val="none"/>
        </w:rPr>
        <w:t>（3）注塑节能技术措施</w:t>
      </w:r>
    </w:p>
    <w:p>
      <w:pPr>
        <w:ind w:firstLine="560"/>
        <w:rPr>
          <w:color w:val="auto"/>
          <w:highlight w:val="none"/>
        </w:rPr>
      </w:pPr>
      <w:r>
        <w:rPr>
          <w:rFonts w:hint="eastAsia"/>
          <w:color w:val="auto"/>
          <w:highlight w:val="none"/>
        </w:rPr>
        <w:t>1）采用低能耗注塑机：如采用变量泵、变频电机、纯电动注塑机等。</w:t>
      </w:r>
    </w:p>
    <w:p>
      <w:pPr>
        <w:ind w:firstLine="560"/>
        <w:rPr>
          <w:color w:val="auto"/>
          <w:highlight w:val="none"/>
        </w:rPr>
      </w:pPr>
      <w:r>
        <w:rPr>
          <w:rFonts w:hint="eastAsia"/>
          <w:color w:val="auto"/>
          <w:highlight w:val="none"/>
        </w:rPr>
        <w:t>2）采用优良设计、新技术的模具：模具的加热或冷却时间，直接影响着生产效率及能耗，例如采用感应加热、变流量冷却水，以及使用节能冷却水道设计，都具有明显</w:t>
      </w:r>
      <w:r>
        <w:rPr>
          <w:color w:val="auto"/>
          <w:highlight w:val="none"/>
        </w:rPr>
        <w:t>的节能</w:t>
      </w:r>
      <w:r>
        <w:rPr>
          <w:rFonts w:hint="eastAsia"/>
          <w:color w:val="auto"/>
          <w:highlight w:val="none"/>
        </w:rPr>
        <w:t>效果。</w:t>
      </w:r>
    </w:p>
    <w:p>
      <w:pPr>
        <w:ind w:firstLine="560"/>
        <w:rPr>
          <w:color w:val="auto"/>
          <w:highlight w:val="none"/>
        </w:rPr>
      </w:pPr>
      <w:r>
        <w:rPr>
          <w:rFonts w:hint="eastAsia"/>
          <w:color w:val="auto"/>
          <w:highlight w:val="none"/>
        </w:rPr>
        <w:t>3）注塑机伺服节能改造：目前国内注塑机大多数都是定量泵型注塑机，注塑机的生产周期原理是：合模—注射—保压—回料—冷却—开模—顶出。加装伺服节能设备后，控制器通过自动检测生产过程中的所有阶段的压力和速度设定，计算出对应的比例控制信号输出给变频器，变频器根据受到的控制信号后，动态调整点击转速以保证油泵输出的液压油尽可能少地产生无功回流，以达到节能目的。</w:t>
      </w:r>
    </w:p>
    <w:p>
      <w:pPr>
        <w:ind w:firstLine="560"/>
        <w:rPr>
          <w:color w:val="auto"/>
          <w:highlight w:val="none"/>
        </w:rPr>
      </w:pPr>
      <w:r>
        <w:rPr>
          <w:rFonts w:hint="eastAsia"/>
          <w:color w:val="auto"/>
          <w:highlight w:val="none"/>
        </w:rPr>
        <w:t>4）新型加热方式：注塑机的加热方式普遍为电热圈发热，通过接触传导方式把热量传到炮筒上，只有紧靠在炮筒表面内侧的热量传到炮筒上，外侧的热量大部分散失到空气中，存在热传导损失，而且散失的热量会导致注塑机工作环境温度上升。电磁加热技术是使金属炮筒自身发热，并且可以根据具体情况在炮筒外部包裹一定的隔热保温材料，能有效地减少了热量的散失，提高热效率，系统节能率可达10%到35%。</w:t>
      </w:r>
    </w:p>
    <w:p>
      <w:pPr>
        <w:ind w:firstLine="560"/>
        <w:rPr>
          <w:color w:val="auto"/>
          <w:highlight w:val="none"/>
        </w:rPr>
      </w:pPr>
      <w:r>
        <w:rPr>
          <w:rFonts w:hint="eastAsia"/>
          <w:color w:val="auto"/>
          <w:highlight w:val="none"/>
        </w:rPr>
        <w:t>5）热量回收再利用：注塑机在工作过程中，发热圈在给炮筒加热的同时，仍有一部分热量直接散发到空气中。注塑机安装余热回收设备，运用热能的闭环控制理念，通过热能采集技术，对注塑机炮筒的热能收集，然后将热能收集供烘料再利用，将被浪费的热量采集起来，循环利用，从而达到既注塑机伺服节能又改善环境的双重效果。</w:t>
      </w:r>
    </w:p>
    <w:p>
      <w:pPr>
        <w:ind w:firstLine="560"/>
        <w:rPr>
          <w:color w:val="auto"/>
          <w:highlight w:val="none"/>
        </w:rPr>
      </w:pPr>
      <w:r>
        <w:rPr>
          <w:rFonts w:hint="eastAsia"/>
          <w:color w:val="auto"/>
          <w:highlight w:val="none"/>
        </w:rPr>
        <w:t>（4）机加工节能技术措施</w:t>
      </w:r>
    </w:p>
    <w:p>
      <w:pPr>
        <w:pStyle w:val="58"/>
        <w:numPr>
          <w:ilvl w:val="0"/>
          <w:numId w:val="14"/>
        </w:numPr>
        <w:ind w:left="0" w:firstLine="560"/>
        <w:rPr>
          <w:rFonts w:eastAsiaTheme="minorEastAsia"/>
          <w:color w:val="auto"/>
          <w:highlight w:val="none"/>
        </w:rPr>
      </w:pPr>
      <w:r>
        <w:rPr>
          <w:rFonts w:eastAsiaTheme="minorEastAsia"/>
          <w:color w:val="auto"/>
          <w:highlight w:val="none"/>
        </w:rPr>
        <w:t>推广复合机床加工技术，采用多主轴、多刀架、机械上下料、自动砂轮修磨装置等，提高生产效率和能源利用率。</w:t>
      </w:r>
    </w:p>
    <w:p>
      <w:pPr>
        <w:pStyle w:val="58"/>
        <w:numPr>
          <w:ilvl w:val="0"/>
          <w:numId w:val="14"/>
        </w:numPr>
        <w:ind w:left="0" w:firstLine="560"/>
        <w:rPr>
          <w:rFonts w:eastAsiaTheme="minorEastAsia"/>
          <w:color w:val="auto"/>
          <w:highlight w:val="none"/>
        </w:rPr>
      </w:pPr>
      <w:r>
        <w:rPr>
          <w:rFonts w:eastAsiaTheme="minorEastAsia"/>
          <w:color w:val="auto"/>
          <w:highlight w:val="none"/>
        </w:rPr>
        <w:t>采用先进的专用机床、组合机床、自动线、加工中心等机械加工设备，减少设备的数量、辅助设施和场地面积。采用专用工装夹具，能减少划线、装夹等辅助时间，提高设备的利用率，减少工装系数，降低能耗。</w:t>
      </w:r>
    </w:p>
    <w:p>
      <w:pPr>
        <w:pStyle w:val="58"/>
        <w:numPr>
          <w:ilvl w:val="0"/>
          <w:numId w:val="14"/>
        </w:numPr>
        <w:ind w:left="0" w:firstLine="560"/>
        <w:rPr>
          <w:rFonts w:eastAsiaTheme="minorEastAsia"/>
          <w:color w:val="auto"/>
          <w:highlight w:val="none"/>
        </w:rPr>
      </w:pPr>
      <w:r>
        <w:rPr>
          <w:rFonts w:eastAsiaTheme="minorEastAsia"/>
          <w:color w:val="auto"/>
          <w:highlight w:val="none"/>
        </w:rPr>
        <w:t>采用一机多能的加工中心，将零件机械加工的某些工序或大部分工序集中到加工中心上一次装夹加工完成，减少零件的装卸次数和搬运工作量，从而减少设备数量和装卸运输的能耗。</w:t>
      </w:r>
    </w:p>
    <w:p>
      <w:pPr>
        <w:pStyle w:val="58"/>
        <w:numPr>
          <w:ilvl w:val="0"/>
          <w:numId w:val="14"/>
        </w:numPr>
        <w:ind w:left="0" w:firstLine="560"/>
        <w:rPr>
          <w:rFonts w:eastAsiaTheme="minorEastAsia"/>
          <w:color w:val="auto"/>
          <w:highlight w:val="none"/>
        </w:rPr>
      </w:pPr>
      <w:r>
        <w:rPr>
          <w:rFonts w:eastAsiaTheme="minorEastAsia"/>
          <w:color w:val="auto"/>
          <w:highlight w:val="none"/>
        </w:rPr>
        <w:t>推广使用自动上下料系统，能提高20%以上的机床利用率，节约材料及减少机床工作时间，利于实现一人多机操作。</w:t>
      </w:r>
    </w:p>
    <w:p>
      <w:pPr>
        <w:pStyle w:val="58"/>
        <w:numPr>
          <w:ilvl w:val="0"/>
          <w:numId w:val="14"/>
        </w:numPr>
        <w:ind w:left="0" w:firstLine="560"/>
        <w:rPr>
          <w:rFonts w:eastAsiaTheme="minorEastAsia"/>
          <w:color w:val="auto"/>
          <w:highlight w:val="none"/>
        </w:rPr>
      </w:pPr>
      <w:r>
        <w:rPr>
          <w:rFonts w:eastAsiaTheme="minorEastAsia"/>
          <w:color w:val="auto"/>
          <w:highlight w:val="none"/>
        </w:rPr>
        <w:t>异形板状零件毛坯的下料采用激光切割、等离子切割或高压水力切割下料，不仅工效高又能实现自动化加工，而且毛坯精度高，节约原材料。</w:t>
      </w:r>
    </w:p>
    <w:p>
      <w:pPr>
        <w:pStyle w:val="58"/>
        <w:numPr>
          <w:ilvl w:val="0"/>
          <w:numId w:val="14"/>
        </w:numPr>
        <w:ind w:left="0" w:firstLine="560"/>
        <w:rPr>
          <w:rFonts w:eastAsiaTheme="minorEastAsia"/>
          <w:color w:val="auto"/>
          <w:highlight w:val="none"/>
        </w:rPr>
      </w:pPr>
      <w:r>
        <w:rPr>
          <w:rFonts w:eastAsiaTheme="minorEastAsia"/>
          <w:color w:val="auto"/>
          <w:highlight w:val="none"/>
        </w:rPr>
        <w:t>采用不重磨刀具、硬质合金刀具等先进的切削刀具，与普通刀具相比较，可以减少换刀、机床停机或启动次数，从而减少机床停机和启动能耗。</w:t>
      </w:r>
    </w:p>
    <w:p>
      <w:pPr>
        <w:pStyle w:val="58"/>
        <w:numPr>
          <w:ilvl w:val="0"/>
          <w:numId w:val="14"/>
        </w:numPr>
        <w:ind w:left="0" w:firstLine="560"/>
        <w:rPr>
          <w:rFonts w:eastAsiaTheme="minorEastAsia"/>
          <w:color w:val="auto"/>
          <w:highlight w:val="none"/>
        </w:rPr>
      </w:pPr>
      <w:r>
        <w:rPr>
          <w:rFonts w:eastAsiaTheme="minorEastAsia"/>
          <w:color w:val="auto"/>
          <w:highlight w:val="none"/>
        </w:rPr>
        <w:t>采用数字化、集成化、智能化、激光等先进的测量装置，与采用于工测量比较，前厅可以减少人为因素影响和停机次数，检测效率大大提高，因而减少机床的停机启功能起及机床空载（如磨削加工，当于工测量时，磨头仍需空转）能耗，且可提高检测数据的精确性。</w:t>
      </w:r>
    </w:p>
    <w:p>
      <w:pPr>
        <w:pStyle w:val="58"/>
        <w:numPr>
          <w:ilvl w:val="0"/>
          <w:numId w:val="14"/>
        </w:numPr>
        <w:ind w:left="0" w:firstLine="560"/>
        <w:rPr>
          <w:rFonts w:eastAsiaTheme="minorEastAsia"/>
          <w:color w:val="auto"/>
          <w:highlight w:val="none"/>
        </w:rPr>
      </w:pPr>
      <w:r>
        <w:rPr>
          <w:rFonts w:eastAsiaTheme="minorEastAsia"/>
          <w:color w:val="auto"/>
          <w:highlight w:val="none"/>
        </w:rPr>
        <w:t>采用各种超硬、耐高温刀具和硬质合金涂层刀具等切削轻合金材料时，在高速、高温的情况下不用切削液，切削效率更高。加工不能用纯粹干切削的材料加工时，可采用高速喷射雾化的微量润滑液到切削区，被体气化吸收大量的热量，工件仍然保持表面干燥切削，可节约大量冷却班，并且不产生废切削液，实现绿色切削。</w:t>
      </w:r>
    </w:p>
    <w:p>
      <w:pPr>
        <w:pStyle w:val="58"/>
        <w:numPr>
          <w:ilvl w:val="0"/>
          <w:numId w:val="14"/>
        </w:numPr>
        <w:ind w:left="0" w:firstLine="560"/>
        <w:rPr>
          <w:rFonts w:eastAsiaTheme="minorEastAsia"/>
          <w:color w:val="auto"/>
          <w:highlight w:val="none"/>
        </w:rPr>
      </w:pPr>
      <w:r>
        <w:rPr>
          <w:rFonts w:eastAsiaTheme="minorEastAsia"/>
          <w:color w:val="auto"/>
          <w:highlight w:val="none"/>
        </w:rPr>
        <w:t>采用冷却液集中处理系统，净化后的净液再集中供各设备使用，生产效率可提高5%～30%，废品率可降低6%~8%。</w:t>
      </w:r>
    </w:p>
    <w:p>
      <w:pPr>
        <w:pStyle w:val="58"/>
        <w:numPr>
          <w:ilvl w:val="0"/>
          <w:numId w:val="14"/>
        </w:numPr>
        <w:ind w:left="0" w:firstLine="560"/>
        <w:rPr>
          <w:rFonts w:eastAsiaTheme="minorEastAsia"/>
          <w:color w:val="auto"/>
          <w:highlight w:val="none"/>
        </w:rPr>
      </w:pPr>
      <w:r>
        <w:rPr>
          <w:rFonts w:eastAsiaTheme="minorEastAsia"/>
          <w:color w:val="auto"/>
          <w:highlight w:val="none"/>
        </w:rPr>
        <w:t>采用</w:t>
      </w:r>
      <w:r>
        <w:rPr>
          <w:rFonts w:asciiTheme="minorEastAsia" w:hAnsiTheme="minorEastAsia" w:eastAsiaTheme="minorEastAsia"/>
          <w:color w:val="auto"/>
          <w:highlight w:val="none"/>
        </w:rPr>
        <w:t>“烫焊锡铝合金”</w:t>
      </w:r>
      <w:r>
        <w:rPr>
          <w:rFonts w:eastAsiaTheme="minorEastAsia"/>
          <w:color w:val="auto"/>
          <w:highlight w:val="none"/>
        </w:rPr>
        <w:t>、热喷法、涂刷新材料等工艺，可减少刨削和磨削的工作量，从而减少机床的采用数量，减少切削能耗。</w:t>
      </w:r>
    </w:p>
    <w:p>
      <w:pPr>
        <w:pStyle w:val="58"/>
        <w:numPr>
          <w:ilvl w:val="0"/>
          <w:numId w:val="14"/>
        </w:numPr>
        <w:ind w:left="0" w:firstLine="560"/>
        <w:rPr>
          <w:rFonts w:eastAsiaTheme="minorEastAsia"/>
          <w:color w:val="auto"/>
          <w:highlight w:val="none"/>
        </w:rPr>
      </w:pPr>
      <w:r>
        <w:rPr>
          <w:rFonts w:eastAsiaTheme="minorEastAsia"/>
          <w:color w:val="auto"/>
          <w:highlight w:val="none"/>
        </w:rPr>
        <w:t>采用远红外加热代替电阻加热，节能效果显著。</w:t>
      </w:r>
    </w:p>
    <w:p>
      <w:pPr>
        <w:pStyle w:val="5"/>
        <w:numPr>
          <w:ilvl w:val="3"/>
          <w:numId w:val="2"/>
        </w:numPr>
        <w:ind w:left="850" w:hanging="850" w:firstLineChars="0"/>
        <w:rPr>
          <w:color w:val="auto"/>
          <w:highlight w:val="none"/>
        </w:rPr>
      </w:pPr>
      <w:r>
        <w:rPr>
          <w:rFonts w:hint="eastAsia"/>
          <w:color w:val="auto"/>
          <w:highlight w:val="none"/>
        </w:rPr>
        <w:t>医药化工</w:t>
      </w:r>
      <w:r>
        <w:rPr>
          <w:color w:val="auto"/>
          <w:highlight w:val="none"/>
        </w:rPr>
        <w:t>行业</w:t>
      </w:r>
      <w:r>
        <w:rPr>
          <w:rFonts w:hint="eastAsia"/>
          <w:color w:val="auto"/>
          <w:highlight w:val="none"/>
        </w:rPr>
        <w:t>节能</w:t>
      </w:r>
      <w:r>
        <w:rPr>
          <w:color w:val="auto"/>
          <w:highlight w:val="none"/>
        </w:rPr>
        <w:t>技术措施</w:t>
      </w:r>
      <w:r>
        <w:rPr>
          <w:rFonts w:hint="eastAsia"/>
          <w:color w:val="auto"/>
          <w:highlight w:val="none"/>
        </w:rPr>
        <w:t>。</w:t>
      </w:r>
    </w:p>
    <w:p>
      <w:pPr>
        <w:ind w:firstLine="560"/>
        <w:rPr>
          <w:color w:val="auto"/>
          <w:highlight w:val="none"/>
        </w:rPr>
      </w:pPr>
      <w:r>
        <w:rPr>
          <w:rFonts w:hint="eastAsia"/>
          <w:color w:val="auto"/>
          <w:highlight w:val="none"/>
        </w:rPr>
        <w:t>（1）螺杆真空泵代替传统泵类</w:t>
      </w:r>
    </w:p>
    <w:p>
      <w:pPr>
        <w:ind w:firstLine="560"/>
        <w:rPr>
          <w:color w:val="auto"/>
          <w:highlight w:val="none"/>
        </w:rPr>
      </w:pPr>
      <w:r>
        <w:rPr>
          <w:rFonts w:hint="eastAsia"/>
          <w:color w:val="auto"/>
          <w:highlight w:val="none"/>
        </w:rPr>
        <w:t>螺杆真空泵是往复泵、水环泵、油封式滑阀真空泵、旋片真空泵、及罗茨机组的更新换代产品，应用于医药、</w:t>
      </w:r>
      <w:r>
        <w:rPr>
          <w:color w:val="auto"/>
          <w:highlight w:val="none"/>
        </w:rPr>
        <w:t>涂料</w:t>
      </w:r>
      <w:r>
        <w:rPr>
          <w:rFonts w:hint="eastAsia"/>
          <w:color w:val="auto"/>
          <w:highlight w:val="none"/>
        </w:rPr>
        <w:t>等行业的真空输送提料、提炼、蒸馏、浓缩、真空包装、干燥、气体解析、尾气回收等场合，是取代传统泵的理想产品。</w:t>
      </w:r>
    </w:p>
    <w:p>
      <w:pPr>
        <w:ind w:firstLine="560"/>
        <w:rPr>
          <w:color w:val="auto"/>
          <w:highlight w:val="none"/>
        </w:rPr>
      </w:pPr>
      <w:r>
        <w:rPr>
          <w:rFonts w:hint="eastAsia"/>
          <w:color w:val="auto"/>
          <w:highlight w:val="none"/>
        </w:rPr>
        <w:t>螺杆泵是由一对平行的螺旋状转子与泵体组成的一个工作室，转子与泵体之间没有磨擦且保持一定的间隙，两个转子与泵体之间形成了密封腔，转子在泵壳中作同步高速反向旋转而产生的吸气和排气作用的抽气设备。两螺杆经精细动平衡校正，由轴承支撑，安装在泵壳中，螺杆与螺杆之间都有一定的间隙，泵工作时相互之间无磨擦， 运转平稳，噪音低，工作腔无需润滑油，因此螺杆泵适合抽除含有大量可凝性气体或少量粉尘的气体场合。</w:t>
      </w:r>
    </w:p>
    <w:p>
      <w:pPr>
        <w:ind w:firstLine="560"/>
        <w:rPr>
          <w:color w:val="auto"/>
          <w:highlight w:val="none"/>
        </w:rPr>
      </w:pPr>
      <w:r>
        <w:rPr>
          <w:rFonts w:hint="eastAsia"/>
          <w:color w:val="auto"/>
          <w:highlight w:val="none"/>
        </w:rPr>
        <w:t>螺杆泵的优点：①工作腔内无润滑油，为干式真空泵，有利于介质回收，可获得清洁真空，工作过程中无废油、废水排放， 对环境无污染，是环保真空设备。②真空度高，单泵极限压力LG型≤1Pa，LGH型≤10Pa，高真空区抽气量大，工作效率高，功耗低。③螺杆泵泵腔设计有自动吸气吹扫装置，可防泵腔内的少量粉尘沉积，可用于抽除含少量粉尘的气体。④螺杆泵轴封设计有气封+迷宫密封装置，有效防止齿轮腔润滑油与泵腔介质互相渗透污染，做到真正的干式真空，延长泵轴承齿轮等主要部件的使用寿命。⑤螺杆泵转子间隙相对较大，泵腔及转子表面有镀镍层或PTFE涂层可供选择，可抽除大量水蒸气及多种腐蚀性介质，适用于化工、制药等工作环境较为恶劣的工作场合，是立式往复泵与水环泵更新替换产品。⑥转子作G1精细动平衡试验，运转平稳振动小。</w:t>
      </w:r>
    </w:p>
    <w:p>
      <w:pPr>
        <w:ind w:firstLine="560"/>
        <w:rPr>
          <w:color w:val="auto"/>
          <w:highlight w:val="none"/>
        </w:rPr>
      </w:pPr>
      <w:r>
        <w:rPr>
          <w:rFonts w:hint="eastAsia"/>
          <w:color w:val="auto"/>
          <w:highlight w:val="none"/>
        </w:rPr>
        <w:t>（2）螺旋缠绕高效节能换热器</w:t>
      </w:r>
    </w:p>
    <w:p>
      <w:pPr>
        <w:ind w:firstLine="560"/>
        <w:rPr>
          <w:color w:val="auto"/>
          <w:highlight w:val="none"/>
        </w:rPr>
      </w:pPr>
      <w:r>
        <w:rPr>
          <w:rFonts w:hint="eastAsia"/>
          <w:color w:val="auto"/>
          <w:highlight w:val="none"/>
        </w:rPr>
        <w:t>涂料、</w:t>
      </w:r>
      <w:r>
        <w:rPr>
          <w:color w:val="auto"/>
          <w:highlight w:val="none"/>
        </w:rPr>
        <w:t>制药</w:t>
      </w:r>
      <w:r>
        <w:rPr>
          <w:rFonts w:hint="eastAsia"/>
          <w:color w:val="auto"/>
          <w:highlight w:val="none"/>
        </w:rPr>
        <w:t>等行业由于溶剂回收、废气处理的要求，安装有较多冷凝器。螺旋缠绕高效节能换热器是近年来推出的一种新型高效节能的换热设备，在设计上完全突破了传统管壳式换热器的设计思路，从材料选择到结构形式、外形体积等方面与传统换热器相比均有大幅度变化，改变了传统换热器结构简单、体积庞大、外形粗糙、效率低下的特点，是传统换热器的更新换代产品。</w:t>
      </w:r>
    </w:p>
    <w:p>
      <w:pPr>
        <w:ind w:firstLine="560"/>
        <w:rPr>
          <w:color w:val="auto"/>
          <w:highlight w:val="none"/>
        </w:rPr>
      </w:pPr>
      <w:r>
        <w:rPr>
          <w:rFonts w:hint="eastAsia"/>
          <w:color w:val="auto"/>
          <w:highlight w:val="none"/>
        </w:rPr>
        <w:t>螺旋缠绕高效节能换热器由于其特殊结构，其换热能力是传统国产换热器的五倍左右，因此能把原来的二级冷凝变为一级冷凝，可以利用循环水代替原来的冷冻盐水，为企业节约制备冷冻盐水的各项费用，且换热充分，能有效提高溶媒回收率，缩短生产工艺流程周期，降低</w:t>
      </w:r>
      <w:r>
        <w:rPr>
          <w:color w:val="auto"/>
          <w:highlight w:val="none"/>
        </w:rPr>
        <w:t>生产能耗</w:t>
      </w:r>
      <w:r>
        <w:rPr>
          <w:rFonts w:hint="eastAsia"/>
          <w:color w:val="auto"/>
          <w:highlight w:val="none"/>
        </w:rPr>
        <w:t>。</w:t>
      </w:r>
    </w:p>
    <w:p>
      <w:pPr>
        <w:ind w:firstLine="560"/>
        <w:rPr>
          <w:color w:val="auto"/>
          <w:highlight w:val="none"/>
        </w:rPr>
      </w:pPr>
      <w:r>
        <w:rPr>
          <w:rFonts w:hint="eastAsia"/>
          <w:color w:val="auto"/>
          <w:highlight w:val="none"/>
        </w:rPr>
        <w:t>螺旋缠绕高效节能换热器结垢系数低、</w:t>
      </w:r>
      <w:r>
        <w:rPr>
          <w:color w:val="auto"/>
          <w:highlight w:val="none"/>
        </w:rPr>
        <w:t>换热效率高</w:t>
      </w:r>
      <w:r>
        <w:rPr>
          <w:rFonts w:hint="eastAsia"/>
          <w:color w:val="auto"/>
          <w:highlight w:val="none"/>
        </w:rPr>
        <w:t>，其独特的螺旋螺纹管长度是壳体的4～6倍，有效地减小了温度梯度，也</w:t>
      </w:r>
      <w:r>
        <w:rPr>
          <w:color w:val="auto"/>
          <w:highlight w:val="none"/>
        </w:rPr>
        <w:t>减少了</w:t>
      </w:r>
      <w:r>
        <w:rPr>
          <w:rFonts w:hint="eastAsia"/>
          <w:color w:val="auto"/>
          <w:highlight w:val="none"/>
        </w:rPr>
        <w:t>结垢因素；采用全焊接，可以使换热器全部参与换热，也使流体自动冲刷管路，降低结垢倾向；换热管的表面光洁度，降低污垢系数；采用螺旋缠绕结构，极大地改变流体的流动状态，形成了强烈的湍流效果；提高流速为5.5 m/s</w:t>
      </w:r>
      <w:r>
        <w:rPr>
          <w:rFonts w:hint="eastAsia" w:asciiTheme="minorEastAsia" w:hAnsiTheme="minorEastAsia" w:eastAsiaTheme="minorEastAsia"/>
          <w:color w:val="auto"/>
          <w:highlight w:val="none"/>
        </w:rPr>
        <w:t>(</w:t>
      </w:r>
      <w:r>
        <w:rPr>
          <w:rFonts w:hint="eastAsia"/>
          <w:color w:val="auto"/>
          <w:highlight w:val="none"/>
        </w:rPr>
        <w:t>传统设计为1.2m/s</w:t>
      </w:r>
      <w:r>
        <w:rPr>
          <w:rFonts w:hint="eastAsia" w:asciiTheme="minorEastAsia" w:hAnsiTheme="minorEastAsia" w:eastAsiaTheme="minorEastAsia"/>
          <w:color w:val="auto"/>
          <w:highlight w:val="none"/>
        </w:rPr>
        <w:t>)</w:t>
      </w:r>
      <w:r>
        <w:rPr>
          <w:rFonts w:hint="eastAsia"/>
          <w:color w:val="auto"/>
          <w:highlight w:val="none"/>
        </w:rPr>
        <w:t>，起到不易结垢并且可以冲刷污垢作用。</w:t>
      </w:r>
    </w:p>
    <w:p>
      <w:pPr>
        <w:ind w:firstLine="560"/>
        <w:rPr>
          <w:color w:val="auto"/>
          <w:highlight w:val="none"/>
        </w:rPr>
      </w:pPr>
      <w:r>
        <w:rPr>
          <w:rFonts w:hint="eastAsia"/>
          <w:color w:val="auto"/>
          <w:highlight w:val="none"/>
        </w:rPr>
        <w:t>另外，</w:t>
      </w:r>
      <w:r>
        <w:rPr>
          <w:color w:val="auto"/>
          <w:highlight w:val="none"/>
        </w:rPr>
        <w:t>其</w:t>
      </w:r>
      <w:r>
        <w:rPr>
          <w:rFonts w:hint="eastAsia"/>
          <w:color w:val="auto"/>
          <w:highlight w:val="none"/>
        </w:rPr>
        <w:t>体积小重量轻、安装更方便、占地面积小且后期维护方便。换热器为全不锈钢材质，换热管束为316L,外壳为304材质，耐高温高压，使用更方便安全。</w:t>
      </w:r>
    </w:p>
    <w:p>
      <w:pPr>
        <w:pStyle w:val="4"/>
        <w:numPr>
          <w:ilvl w:val="2"/>
          <w:numId w:val="2"/>
        </w:numPr>
        <w:ind w:left="709" w:hanging="709"/>
        <w:rPr>
          <w:color w:val="auto"/>
          <w:highlight w:val="none"/>
        </w:rPr>
      </w:pPr>
      <w:bookmarkStart w:id="95" w:name="_Toc6537"/>
      <w:r>
        <w:rPr>
          <w:rFonts w:hint="eastAsia"/>
          <w:color w:val="auto"/>
          <w:highlight w:val="none"/>
        </w:rPr>
        <w:t>通用</w:t>
      </w:r>
      <w:r>
        <w:rPr>
          <w:color w:val="auto"/>
          <w:highlight w:val="none"/>
        </w:rPr>
        <w:t>节能技术措施</w:t>
      </w:r>
      <w:bookmarkEnd w:id="95"/>
    </w:p>
    <w:p>
      <w:pPr>
        <w:pStyle w:val="5"/>
        <w:numPr>
          <w:ilvl w:val="3"/>
          <w:numId w:val="2"/>
        </w:numPr>
        <w:ind w:left="850" w:hanging="850" w:firstLineChars="0"/>
        <w:rPr>
          <w:color w:val="auto"/>
          <w:highlight w:val="none"/>
        </w:rPr>
      </w:pPr>
      <w:r>
        <w:rPr>
          <w:rFonts w:hint="eastAsia"/>
          <w:color w:val="auto"/>
          <w:highlight w:val="none"/>
        </w:rPr>
        <w:t>供配电系统节能技术措施</w:t>
      </w:r>
    </w:p>
    <w:p>
      <w:pPr>
        <w:ind w:firstLine="560"/>
        <w:rPr>
          <w:color w:val="auto"/>
          <w:highlight w:val="none"/>
        </w:rPr>
      </w:pPr>
      <w:r>
        <w:rPr>
          <w:rFonts w:hint="eastAsia"/>
          <w:color w:val="auto"/>
          <w:highlight w:val="none"/>
        </w:rPr>
        <w:t>（1）配置节能型动力变压器</w:t>
      </w:r>
    </w:p>
    <w:p>
      <w:pPr>
        <w:ind w:firstLine="560"/>
        <w:rPr>
          <w:color w:val="auto"/>
          <w:highlight w:val="none"/>
        </w:rPr>
      </w:pPr>
      <w:r>
        <w:rPr>
          <w:rFonts w:hint="eastAsia"/>
          <w:color w:val="auto"/>
          <w:highlight w:val="none"/>
        </w:rPr>
        <w:t>1）区内变配电全部采用节能型变压器，企业根据工艺设备需要确定合理的负荷率，供电回路采用自动功率因数补偿装置使功率因数提高到 0.95 以上；</w:t>
      </w:r>
    </w:p>
    <w:p>
      <w:pPr>
        <w:ind w:firstLine="560"/>
        <w:rPr>
          <w:color w:val="auto"/>
          <w:highlight w:val="none"/>
        </w:rPr>
      </w:pPr>
      <w:r>
        <w:rPr>
          <w:rFonts w:hint="eastAsia"/>
          <w:color w:val="auto"/>
          <w:highlight w:val="none"/>
        </w:rPr>
        <w:t>2）区域内企业投产后加强运行变压器的内部管理，及时地将暂不使用的供用电回路与电源线路断开</w:t>
      </w:r>
      <w:r>
        <w:rPr>
          <w:color w:val="auto"/>
          <w:highlight w:val="none"/>
        </w:rPr>
        <w:t>，</w:t>
      </w:r>
      <w:r>
        <w:rPr>
          <w:rFonts w:hint="eastAsia"/>
          <w:color w:val="auto"/>
          <w:highlight w:val="none"/>
        </w:rPr>
        <w:t>使线路上的空载运行损耗降至最低；</w:t>
      </w:r>
    </w:p>
    <w:p>
      <w:pPr>
        <w:ind w:firstLine="560"/>
        <w:rPr>
          <w:color w:val="auto"/>
          <w:highlight w:val="none"/>
        </w:rPr>
      </w:pPr>
      <w:r>
        <w:rPr>
          <w:rFonts w:hint="eastAsia"/>
          <w:color w:val="auto"/>
          <w:highlight w:val="none"/>
        </w:rPr>
        <w:t>3）加强系统的总体负荷平衡调整，定期对三相负荷进行测定，及时进行三相负荷调整，保证系统的三相负载平衡。</w:t>
      </w:r>
    </w:p>
    <w:p>
      <w:pPr>
        <w:ind w:firstLine="560"/>
        <w:rPr>
          <w:color w:val="auto"/>
          <w:highlight w:val="none"/>
        </w:rPr>
      </w:pPr>
      <w:r>
        <w:rPr>
          <w:rFonts w:hint="eastAsia"/>
          <w:color w:val="auto"/>
          <w:highlight w:val="none"/>
        </w:rPr>
        <w:t>（2）优化供配电系统</w:t>
      </w:r>
    </w:p>
    <w:p>
      <w:pPr>
        <w:ind w:firstLine="560"/>
        <w:rPr>
          <w:color w:val="auto"/>
          <w:highlight w:val="none"/>
        </w:rPr>
      </w:pPr>
      <w:r>
        <w:rPr>
          <w:rFonts w:hint="eastAsia"/>
          <w:color w:val="auto"/>
          <w:highlight w:val="none"/>
        </w:rPr>
        <w:t>1）进一步优化设计供配电系统，降低线损率，使得线损率控制在 1.5%以内（一次变压≤3.5%）；变配电系统采取集中和就地补偿相结合的补偿方式，选用高性能无功补偿装置提高功率因素，使总功率因数目标控制在 0.95 左右，将变压器设置在负荷中心，以缩短管线，减少线损。</w:t>
      </w:r>
    </w:p>
    <w:p>
      <w:pPr>
        <w:ind w:firstLine="560"/>
        <w:rPr>
          <w:color w:val="auto"/>
          <w:highlight w:val="none"/>
        </w:rPr>
      </w:pPr>
      <w:r>
        <w:rPr>
          <w:rFonts w:hint="eastAsia"/>
          <w:color w:val="auto"/>
          <w:highlight w:val="none"/>
        </w:rPr>
        <w:t>2）重视网络配置，包括力求电网相间平衡，选用低能耗导线，减小线网损失。</w:t>
      </w:r>
    </w:p>
    <w:p>
      <w:pPr>
        <w:ind w:firstLine="560"/>
        <w:rPr>
          <w:color w:val="auto"/>
          <w:highlight w:val="none"/>
        </w:rPr>
      </w:pPr>
      <w:r>
        <w:rPr>
          <w:rFonts w:hint="eastAsia"/>
          <w:color w:val="auto"/>
          <w:highlight w:val="none"/>
        </w:rPr>
        <w:t>（3）治理谐波：电力系统中的谐波主要是由于电网电气参数波动或瞬间干扰所引起，如电压波动、浪涌冲击、谐波、三相不平衡、功率因数过低、缺相运行等，易造成设备运行故障、维修工作量增加及耗电等损失，可在谐波源处安装滤波器，就近吸收谐波源产生的谐波电流。</w:t>
      </w:r>
    </w:p>
    <w:p>
      <w:pPr>
        <w:ind w:firstLine="560"/>
        <w:rPr>
          <w:color w:val="auto"/>
          <w:highlight w:val="none"/>
        </w:rPr>
      </w:pPr>
      <w:r>
        <w:rPr>
          <w:rFonts w:hint="eastAsia"/>
          <w:color w:val="auto"/>
          <w:highlight w:val="none"/>
        </w:rPr>
        <w:t>（4）低压配电线路节能：低压配电线路应将“电能损耗大小”作为安装的依据之一，即在经济合理的原则下，可优先选用电导率较小的材质做导线，铜芯最佳，铝芯线较次。 同时，尽可能减少导线长度，变压器尽量接近负荷中心；可适当增大导线截面积以减少输电线路电能损耗；此外企业应定期进行线路测试，合理调整用电负荷，使主要配电线路经济运行。</w:t>
      </w:r>
    </w:p>
    <w:p>
      <w:pPr>
        <w:pStyle w:val="5"/>
        <w:numPr>
          <w:ilvl w:val="3"/>
          <w:numId w:val="2"/>
        </w:numPr>
        <w:ind w:left="850" w:hanging="850" w:firstLineChars="0"/>
        <w:rPr>
          <w:color w:val="auto"/>
          <w:highlight w:val="none"/>
        </w:rPr>
      </w:pPr>
      <w:r>
        <w:rPr>
          <w:rFonts w:hint="eastAsia"/>
          <w:color w:val="auto"/>
          <w:highlight w:val="none"/>
        </w:rPr>
        <w:t>电机节能技术措施</w:t>
      </w:r>
    </w:p>
    <w:p>
      <w:pPr>
        <w:ind w:firstLine="560"/>
        <w:rPr>
          <w:color w:val="auto"/>
          <w:highlight w:val="none"/>
        </w:rPr>
      </w:pPr>
      <w:r>
        <w:rPr>
          <w:rFonts w:hint="eastAsia"/>
          <w:color w:val="auto"/>
          <w:highlight w:val="none"/>
        </w:rPr>
        <w:t>（1）推广高效节能电动机。推广高效节能电机、稀土永磁电动机，高效风机、泵、压缩机，高效传动系统等；</w:t>
      </w:r>
    </w:p>
    <w:p>
      <w:pPr>
        <w:ind w:firstLine="560"/>
        <w:rPr>
          <w:color w:val="auto"/>
          <w:highlight w:val="none"/>
        </w:rPr>
      </w:pPr>
      <w:r>
        <w:rPr>
          <w:rFonts w:hint="eastAsia"/>
          <w:color w:val="auto"/>
          <w:highlight w:val="none"/>
        </w:rPr>
        <w:t>（2）提高电机及供配电系统效率。推广变频调速、永磁调速等先进电机调速技术，改善风机、泵类电机系统调节方式。重点对大中型变工况电机系统进行调速改造，合理匹配电机、供配电系统，消除“大马拉小车”现象；</w:t>
      </w:r>
    </w:p>
    <w:p>
      <w:pPr>
        <w:ind w:firstLine="560"/>
        <w:rPr>
          <w:color w:val="auto"/>
          <w:highlight w:val="none"/>
        </w:rPr>
      </w:pPr>
      <w:r>
        <w:rPr>
          <w:rFonts w:hint="eastAsia"/>
          <w:color w:val="auto"/>
          <w:highlight w:val="none"/>
        </w:rPr>
        <w:t>（3）被拖动装置控制和设备改造，以先进的电力电子技术传动方式改造传统的机械传动方式，逐步采用交流调速取代直流调速，采用高新技术改造拖动装置等；</w:t>
      </w:r>
    </w:p>
    <w:p>
      <w:pPr>
        <w:ind w:firstLine="560"/>
        <w:rPr>
          <w:color w:val="auto"/>
          <w:highlight w:val="none"/>
        </w:rPr>
      </w:pPr>
      <w:r>
        <w:rPr>
          <w:rFonts w:hint="eastAsia"/>
          <w:color w:val="auto"/>
          <w:highlight w:val="none"/>
        </w:rPr>
        <w:t>（4）优化电机系统的运行和控制。推广软启动装置、无功补偿装置、计算机自动控制系统等，通过过程控制合理配置能量，实现系统经济运行。</w:t>
      </w:r>
    </w:p>
    <w:p>
      <w:pPr>
        <w:pStyle w:val="9"/>
        <w:keepNext/>
        <w:rPr>
          <w:color w:val="auto"/>
          <w:highlight w:val="none"/>
        </w:rPr>
      </w:pPr>
      <w:r>
        <w:rPr>
          <w:rFonts w:hint="eastAsia"/>
          <w:color w:val="auto"/>
          <w:highlight w:val="none"/>
        </w:rPr>
        <w:t xml:space="preserve">表7-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表7-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电机系统节能改造技术指南</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624"/>
        <w:gridCol w:w="1134"/>
        <w:gridCol w:w="4395"/>
        <w:gridCol w:w="2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b/>
                <w:color w:val="auto"/>
                <w:sz w:val="24"/>
                <w:highlight w:val="none"/>
              </w:rPr>
            </w:pPr>
            <w:r>
              <w:rPr>
                <w:rFonts w:hint="eastAsia"/>
                <w:b/>
                <w:color w:val="auto"/>
                <w:sz w:val="24"/>
                <w:highlight w:val="none"/>
              </w:rPr>
              <w:t>序号</w:t>
            </w:r>
          </w:p>
        </w:tc>
        <w:tc>
          <w:tcPr>
            <w:tcW w:w="1134" w:type="dxa"/>
            <w:vAlign w:val="center"/>
          </w:tcPr>
          <w:p>
            <w:pPr>
              <w:spacing w:line="240" w:lineRule="auto"/>
              <w:ind w:firstLine="0" w:firstLineChars="0"/>
              <w:jc w:val="center"/>
              <w:rPr>
                <w:b/>
                <w:color w:val="auto"/>
                <w:sz w:val="24"/>
                <w:highlight w:val="none"/>
              </w:rPr>
            </w:pPr>
            <w:r>
              <w:rPr>
                <w:rFonts w:hint="eastAsia"/>
                <w:b/>
                <w:color w:val="auto"/>
                <w:sz w:val="24"/>
                <w:highlight w:val="none"/>
              </w:rPr>
              <w:t>技术方案</w:t>
            </w:r>
          </w:p>
        </w:tc>
        <w:tc>
          <w:tcPr>
            <w:tcW w:w="4395" w:type="dxa"/>
            <w:vAlign w:val="center"/>
          </w:tcPr>
          <w:p>
            <w:pPr>
              <w:spacing w:line="240" w:lineRule="auto"/>
              <w:ind w:firstLine="0" w:firstLineChars="0"/>
              <w:jc w:val="center"/>
              <w:rPr>
                <w:b/>
                <w:color w:val="auto"/>
                <w:sz w:val="24"/>
                <w:highlight w:val="none"/>
              </w:rPr>
            </w:pPr>
            <w:r>
              <w:rPr>
                <w:rFonts w:hint="eastAsia"/>
                <w:b/>
                <w:color w:val="auto"/>
                <w:sz w:val="24"/>
                <w:highlight w:val="none"/>
              </w:rPr>
              <w:t>适用</w:t>
            </w:r>
            <w:r>
              <w:rPr>
                <w:b/>
                <w:color w:val="auto"/>
                <w:sz w:val="24"/>
                <w:highlight w:val="none"/>
              </w:rPr>
              <w:t>场所</w:t>
            </w:r>
          </w:p>
        </w:tc>
        <w:tc>
          <w:tcPr>
            <w:tcW w:w="2267" w:type="dxa"/>
            <w:vAlign w:val="center"/>
          </w:tcPr>
          <w:p>
            <w:pPr>
              <w:spacing w:line="240" w:lineRule="auto"/>
              <w:ind w:firstLine="0" w:firstLineChars="0"/>
              <w:jc w:val="center"/>
              <w:rPr>
                <w:b/>
                <w:color w:val="auto"/>
                <w:sz w:val="24"/>
                <w:highlight w:val="none"/>
              </w:rPr>
            </w:pPr>
            <w:r>
              <w:rPr>
                <w:rFonts w:hint="eastAsia"/>
                <w:b/>
                <w:color w:val="auto"/>
                <w:sz w:val="24"/>
                <w:highlight w:val="none"/>
              </w:rPr>
              <w:t>节电效果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color w:val="auto"/>
                <w:sz w:val="24"/>
                <w:highlight w:val="none"/>
              </w:rPr>
            </w:pPr>
            <w:r>
              <w:rPr>
                <w:rFonts w:hint="eastAsia"/>
                <w:color w:val="auto"/>
                <w:sz w:val="24"/>
                <w:highlight w:val="none"/>
              </w:rPr>
              <w:t>1</w:t>
            </w:r>
          </w:p>
        </w:tc>
        <w:tc>
          <w:tcPr>
            <w:tcW w:w="1134" w:type="dxa"/>
            <w:vAlign w:val="center"/>
          </w:tcPr>
          <w:p>
            <w:pPr>
              <w:spacing w:line="240" w:lineRule="auto"/>
              <w:ind w:firstLine="0" w:firstLineChars="0"/>
              <w:jc w:val="center"/>
              <w:rPr>
                <w:color w:val="auto"/>
                <w:sz w:val="24"/>
                <w:highlight w:val="none"/>
              </w:rPr>
            </w:pPr>
            <w:r>
              <w:rPr>
                <w:rFonts w:hint="eastAsia"/>
                <w:color w:val="auto"/>
                <w:sz w:val="24"/>
                <w:highlight w:val="none"/>
              </w:rPr>
              <w:t>变频调速技术</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可用于高压、低压电机系统改造，适用于需要频繁调节流量的场所，如风机、水泵、压缩机等。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节电率为10%~50%，投资回收期一般在2年左右。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color w:val="auto"/>
                <w:sz w:val="24"/>
                <w:highlight w:val="none"/>
              </w:rPr>
            </w:pPr>
            <w:r>
              <w:rPr>
                <w:rFonts w:hint="eastAsia"/>
                <w:color w:val="auto"/>
                <w:sz w:val="24"/>
                <w:highlight w:val="none"/>
              </w:rPr>
              <w:t>2</w:t>
            </w:r>
          </w:p>
        </w:tc>
        <w:tc>
          <w:tcPr>
            <w:tcW w:w="1134" w:type="dxa"/>
            <w:vAlign w:val="center"/>
          </w:tcPr>
          <w:p>
            <w:pPr>
              <w:spacing w:line="240" w:lineRule="auto"/>
              <w:ind w:firstLine="0" w:firstLineChars="0"/>
              <w:jc w:val="center"/>
              <w:rPr>
                <w:color w:val="auto"/>
                <w:sz w:val="24"/>
                <w:highlight w:val="none"/>
              </w:rPr>
            </w:pPr>
            <w:r>
              <w:rPr>
                <w:rFonts w:hint="eastAsia"/>
                <w:color w:val="auto"/>
                <w:sz w:val="24"/>
                <w:highlight w:val="none"/>
              </w:rPr>
              <w:t>变极调速技术</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主要用于高压电机系统改造，适用于需要定量调节、但不需要频繁调节流量的场所，如风机、水泵等。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节电率为20%以上，投资回收期一般在1年左右。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color w:val="auto"/>
                <w:sz w:val="24"/>
                <w:highlight w:val="none"/>
              </w:rPr>
            </w:pPr>
            <w:r>
              <w:rPr>
                <w:rFonts w:hint="eastAsia"/>
                <w:color w:val="auto"/>
                <w:sz w:val="24"/>
                <w:highlight w:val="none"/>
              </w:rPr>
              <w:t>3</w:t>
            </w:r>
          </w:p>
        </w:tc>
        <w:tc>
          <w:tcPr>
            <w:tcW w:w="1134" w:type="dxa"/>
            <w:vAlign w:val="center"/>
          </w:tcPr>
          <w:p>
            <w:pPr>
              <w:spacing w:line="240" w:lineRule="auto"/>
              <w:ind w:firstLine="0" w:firstLineChars="0"/>
              <w:jc w:val="center"/>
              <w:rPr>
                <w:color w:val="auto"/>
                <w:sz w:val="24"/>
                <w:highlight w:val="none"/>
              </w:rPr>
            </w:pPr>
            <w:r>
              <w:rPr>
                <w:rFonts w:hint="eastAsia"/>
                <w:color w:val="auto"/>
                <w:sz w:val="24"/>
                <w:highlight w:val="none"/>
              </w:rPr>
              <w:t>相控调压技术</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可用于高压、低压电机系统改造，适用于负荷率、功率因数较低，负载变化较大且速度恒定的场所，如机床、输送带等。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节电率为2%，投资回收期一般在3年左右。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color w:val="auto"/>
                <w:sz w:val="24"/>
                <w:highlight w:val="none"/>
              </w:rPr>
            </w:pPr>
            <w:r>
              <w:rPr>
                <w:rFonts w:hint="eastAsia"/>
                <w:color w:val="auto"/>
                <w:sz w:val="24"/>
                <w:highlight w:val="none"/>
              </w:rPr>
              <w:t>4</w:t>
            </w:r>
          </w:p>
        </w:tc>
        <w:tc>
          <w:tcPr>
            <w:tcW w:w="1134" w:type="dxa"/>
            <w:vAlign w:val="center"/>
          </w:tcPr>
          <w:p>
            <w:pPr>
              <w:spacing w:line="240" w:lineRule="auto"/>
              <w:ind w:firstLine="0" w:firstLineChars="0"/>
              <w:jc w:val="center"/>
              <w:rPr>
                <w:color w:val="auto"/>
                <w:sz w:val="24"/>
                <w:highlight w:val="none"/>
              </w:rPr>
            </w:pPr>
            <w:r>
              <w:rPr>
                <w:rFonts w:hint="eastAsia"/>
                <w:color w:val="auto"/>
                <w:sz w:val="24"/>
                <w:highlight w:val="none"/>
              </w:rPr>
              <w:t>功率因数补偿</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适用于负荷功率因数低、负载功率变化大，变化速度快、有谐波源且谐波污染大的电机集群，如钢厂、化工厂、机械加工厂等。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综合节电率为4%左右，投资回收期一般在3~5年。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5</w:t>
            </w:r>
          </w:p>
        </w:tc>
        <w:tc>
          <w:tcPr>
            <w:tcW w:w="1134" w:type="dxa"/>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电机与拖动设备、运行工况匹配技术</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解决电机额定功率与拖动设备运行功率不匹配问题，适用于高压、低压电机系统“大马拉小车”的改造，如风机、水泵、车床等。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Merge w:val="continue"/>
            <w:vAlign w:val="center"/>
          </w:tcPr>
          <w:p>
            <w:pPr>
              <w:spacing w:line="240" w:lineRule="auto"/>
              <w:ind w:firstLine="0" w:firstLineChars="0"/>
              <w:jc w:val="center"/>
              <w:rPr>
                <w:color w:val="auto"/>
                <w:sz w:val="24"/>
                <w:highlight w:val="none"/>
              </w:rPr>
            </w:pPr>
          </w:p>
        </w:tc>
        <w:tc>
          <w:tcPr>
            <w:tcW w:w="1134" w:type="dxa"/>
            <w:vMerge w:val="continue"/>
            <w:vAlign w:val="center"/>
          </w:tcPr>
          <w:p>
            <w:pPr>
              <w:spacing w:line="240" w:lineRule="auto"/>
              <w:ind w:firstLine="0" w:firstLineChars="0"/>
              <w:jc w:val="center"/>
              <w:rPr>
                <w:color w:val="auto"/>
                <w:sz w:val="24"/>
                <w:highlight w:val="none"/>
              </w:rPr>
            </w:pP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解决重载或大惯量设备要求启动转矩大、运行效率低的问题，适用于高启动转矩且常处于空载、轻载的场合，如冲床、搅拌机、磨机、抽油机、注塑机等。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节电率为5%~15%，投资回收期一般在1~3年。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Merge w:val="continue"/>
            <w:vAlign w:val="center"/>
          </w:tcPr>
          <w:p>
            <w:pPr>
              <w:spacing w:line="240" w:lineRule="auto"/>
              <w:ind w:firstLine="0" w:firstLineChars="0"/>
              <w:jc w:val="center"/>
              <w:rPr>
                <w:color w:val="auto"/>
                <w:sz w:val="24"/>
                <w:highlight w:val="none"/>
              </w:rPr>
            </w:pPr>
          </w:p>
        </w:tc>
        <w:tc>
          <w:tcPr>
            <w:tcW w:w="1134" w:type="dxa"/>
            <w:vMerge w:val="continue"/>
            <w:vAlign w:val="center"/>
          </w:tcPr>
          <w:p>
            <w:pPr>
              <w:spacing w:line="240" w:lineRule="auto"/>
              <w:ind w:firstLine="0" w:firstLineChars="0"/>
              <w:jc w:val="center"/>
              <w:rPr>
                <w:color w:val="auto"/>
                <w:sz w:val="24"/>
                <w:highlight w:val="none"/>
              </w:rPr>
            </w:pP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解决拖动设备效率低或输出与需求不匹配造成系统效率低的问题，适于压力过大、扬程过高或流量过大的场所，如风机、水泵等。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节电率为10%~30%，投资回收期一般在1~2年。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color w:val="auto"/>
                <w:sz w:val="24"/>
                <w:highlight w:val="none"/>
              </w:rPr>
            </w:pPr>
            <w:r>
              <w:rPr>
                <w:rFonts w:hint="eastAsia"/>
                <w:color w:val="auto"/>
                <w:sz w:val="24"/>
                <w:highlight w:val="none"/>
              </w:rPr>
              <w:t>6</w:t>
            </w:r>
          </w:p>
        </w:tc>
        <w:tc>
          <w:tcPr>
            <w:tcW w:w="1134" w:type="dxa"/>
            <w:vAlign w:val="center"/>
          </w:tcPr>
          <w:p>
            <w:pPr>
              <w:spacing w:line="240" w:lineRule="auto"/>
              <w:ind w:firstLine="0" w:firstLineChars="0"/>
              <w:jc w:val="center"/>
              <w:rPr>
                <w:color w:val="auto"/>
                <w:sz w:val="24"/>
                <w:highlight w:val="none"/>
              </w:rPr>
            </w:pPr>
            <w:r>
              <w:rPr>
                <w:rFonts w:hint="eastAsia"/>
                <w:color w:val="auto"/>
                <w:sz w:val="24"/>
                <w:highlight w:val="none"/>
              </w:rPr>
              <w:t>电机系统优化和运行控制</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适用于电机密集且关联度较大的生产线和工厂，如化工、轻纺、制药、食品、冶金等工业企业中同一工序设备多用、多备和上下游工序影响较大且工艺、产能经常变化的场所。</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节电率为5%~15%，投资回收期一般在2~3年。</w:t>
            </w:r>
          </w:p>
        </w:tc>
      </w:tr>
    </w:tbl>
    <w:p>
      <w:pPr>
        <w:spacing w:line="240" w:lineRule="auto"/>
        <w:ind w:firstLine="0" w:firstLineChars="0"/>
        <w:rPr>
          <w:color w:val="auto"/>
          <w:highlight w:val="none"/>
        </w:rPr>
      </w:pPr>
    </w:p>
    <w:p>
      <w:pPr>
        <w:pStyle w:val="5"/>
        <w:numPr>
          <w:ilvl w:val="3"/>
          <w:numId w:val="2"/>
        </w:numPr>
        <w:ind w:left="850" w:hanging="850" w:firstLineChars="0"/>
        <w:rPr>
          <w:color w:val="auto"/>
          <w:highlight w:val="none"/>
        </w:rPr>
      </w:pPr>
      <w:r>
        <w:rPr>
          <w:rFonts w:hint="eastAsia"/>
          <w:color w:val="auto"/>
          <w:highlight w:val="none"/>
        </w:rPr>
        <w:t>空压机节能技术措施</w:t>
      </w:r>
    </w:p>
    <w:p>
      <w:pPr>
        <w:ind w:firstLine="560"/>
        <w:rPr>
          <w:color w:val="auto"/>
          <w:highlight w:val="none"/>
        </w:rPr>
      </w:pPr>
      <w:r>
        <w:rPr>
          <w:rFonts w:hint="eastAsia"/>
          <w:color w:val="auto"/>
          <w:highlight w:val="none"/>
        </w:rPr>
        <w:t>（1）空压机采用变频调速。选用高效节能型空压机，通过变频调速根据系统用气量变化，控制机组运行，在满足系统用气要求的同时达到节能的目的。当用气量增加时，机组通过转速自动的加快来增加产气量，以不使压力下降，确保恒压供气。当用气量减少时，机组通过转速自动减慢来减少产气量，以不使压力上升，并继续恒压供气。</w:t>
      </w:r>
    </w:p>
    <w:p>
      <w:pPr>
        <w:ind w:firstLine="560"/>
        <w:rPr>
          <w:color w:val="auto"/>
          <w:highlight w:val="none"/>
        </w:rPr>
      </w:pPr>
      <w:r>
        <w:rPr>
          <w:rFonts w:hint="eastAsia"/>
          <w:color w:val="auto"/>
          <w:highlight w:val="none"/>
        </w:rPr>
        <w:t>（2）空压机安装余热回收装置。企业存在热水等低温余热条件，可考虑对75kW以上空压机采取余热回收措施。根据空压机运行特性，空气过滤后进入压缩机主机，在压缩过程中与喷入的冷却润滑油混合，经压缩后的混合气体从压缩腔排入油气分离罐，从而分别得到高温高压的油、气。这些高温高压的油、气必须送入各自的冷却系统，其中压缩空气经冷却器冷却后，最后送入使用系统；而高温高压的润滑油经冷却器冷却后，返回油路进入下一轮循环。在以上过程中，高温高压的油、气所携带的热量大致相当于空气压缩机功率的1/4，其温度通常在80℃</w:t>
      </w:r>
      <w:r>
        <w:rPr>
          <w:color w:val="auto"/>
          <w:highlight w:val="none"/>
        </w:rPr>
        <w:t>~</w:t>
      </w:r>
      <w:r>
        <w:rPr>
          <w:rFonts w:hint="eastAsia"/>
          <w:color w:val="auto"/>
          <w:highlight w:val="none"/>
        </w:rPr>
        <w:t>100℃之间。</w:t>
      </w:r>
    </w:p>
    <w:p>
      <w:pPr>
        <w:ind w:firstLine="560"/>
        <w:rPr>
          <w:color w:val="auto"/>
          <w:highlight w:val="none"/>
        </w:rPr>
      </w:pPr>
      <w:r>
        <w:rPr>
          <w:rFonts w:hint="eastAsia"/>
          <w:color w:val="auto"/>
          <w:highlight w:val="none"/>
        </w:rPr>
        <w:t>（3）空压系统分压供气技术。企业存在使用不同压力等级的压缩空气，可实施分压供气技术。降低供气压力是空压系统节能的一项重要措施。供气压力每增加0.1MPa，空压机能耗增加5%</w:t>
      </w:r>
      <w:r>
        <w:rPr>
          <w:color w:val="auto"/>
          <w:highlight w:val="none"/>
        </w:rPr>
        <w:t>~</w:t>
      </w:r>
      <w:r>
        <w:rPr>
          <w:rFonts w:hint="eastAsia"/>
          <w:color w:val="auto"/>
          <w:highlight w:val="none"/>
        </w:rPr>
        <w:t>10%，气动系统增加耗气14%。而且提高供气压力会增加输气管路的泄漏。</w:t>
      </w:r>
    </w:p>
    <w:p>
      <w:pPr>
        <w:ind w:firstLine="560"/>
        <w:rPr>
          <w:color w:val="auto"/>
          <w:highlight w:val="none"/>
        </w:rPr>
      </w:pPr>
      <w:r>
        <w:rPr>
          <w:rFonts w:hint="eastAsia"/>
          <w:color w:val="auto"/>
          <w:highlight w:val="none"/>
        </w:rPr>
        <w:t>目前分压供气节能改造主要有两种方式：</w:t>
      </w:r>
    </w:p>
    <w:p>
      <w:pPr>
        <w:ind w:firstLine="560"/>
        <w:rPr>
          <w:color w:val="auto"/>
          <w:highlight w:val="none"/>
        </w:rPr>
      </w:pPr>
      <w:r>
        <w:rPr>
          <w:rFonts w:hint="eastAsia"/>
          <w:color w:val="auto"/>
          <w:highlight w:val="none"/>
        </w:rPr>
        <w:t>1）空压机分组供气，即将一个空压机组分成几组，每组根据用气设备的需求提供不同压力的压缩空气。</w:t>
      </w:r>
    </w:p>
    <w:p>
      <w:pPr>
        <w:ind w:firstLine="560"/>
        <w:rPr>
          <w:color w:val="auto"/>
          <w:highlight w:val="none"/>
        </w:rPr>
      </w:pPr>
      <w:r>
        <w:rPr>
          <w:rFonts w:hint="eastAsia"/>
          <w:color w:val="auto"/>
          <w:highlight w:val="none"/>
        </w:rPr>
        <w:t>2）局部增压，即气源提供低压空气，局部采用增压设备进行增压为需要高压空气的设备供气。此方法可以灵活地为局部提供高压空气。在企业现场，一般气动系统需要的高压空气（＞0.7MPa）的量最多占空气总需求量的5%左右，采用局部增压技术是切实可行的。空压系统气动增压，通过改变压缩空气回路，利用活塞对空气进行压缩，达到增压的目的。市场上此类产品较多，比如SMC公司生产的VBA系列的气动增压阀、CKD公司的ABP空气增压器、欧境企业股份有限公司生产的PW系列的气动增压泵等。</w:t>
      </w:r>
    </w:p>
    <w:p>
      <w:pPr>
        <w:pStyle w:val="5"/>
        <w:numPr>
          <w:ilvl w:val="3"/>
          <w:numId w:val="2"/>
        </w:numPr>
        <w:ind w:left="850" w:hanging="850" w:firstLineChars="0"/>
        <w:rPr>
          <w:color w:val="auto"/>
          <w:highlight w:val="none"/>
        </w:rPr>
      </w:pPr>
      <w:r>
        <w:rPr>
          <w:rFonts w:hint="eastAsia"/>
          <w:color w:val="auto"/>
          <w:highlight w:val="none"/>
        </w:rPr>
        <w:t>循环水系统节能技术措施</w:t>
      </w:r>
    </w:p>
    <w:p>
      <w:pPr>
        <w:ind w:firstLine="560"/>
        <w:rPr>
          <w:color w:val="auto"/>
          <w:highlight w:val="none"/>
        </w:rPr>
      </w:pPr>
      <w:r>
        <w:rPr>
          <w:rFonts w:hint="eastAsia"/>
          <w:color w:val="auto"/>
          <w:highlight w:val="none"/>
        </w:rPr>
        <w:t>鼓励采用节能型冷却塔和高效泵节能改造，同时为进一步提高循环水系统电能利用效率，采用循环水系统能量优化方案，即对循环水系统整体考虑，具体节能控制措施如下：</w:t>
      </w:r>
    </w:p>
    <w:p>
      <w:pPr>
        <w:ind w:firstLine="560"/>
        <w:rPr>
          <w:color w:val="auto"/>
          <w:highlight w:val="none"/>
        </w:rPr>
      </w:pPr>
      <w:r>
        <w:rPr>
          <w:rFonts w:hint="eastAsia"/>
          <w:color w:val="auto"/>
          <w:highlight w:val="none"/>
        </w:rPr>
        <w:t>（1）冷却终端设备温度优化控制</w:t>
      </w:r>
    </w:p>
    <w:p>
      <w:pPr>
        <w:ind w:firstLine="560"/>
        <w:rPr>
          <w:color w:val="auto"/>
          <w:highlight w:val="none"/>
        </w:rPr>
      </w:pPr>
      <w:r>
        <w:rPr>
          <w:rFonts w:hint="eastAsia"/>
          <w:color w:val="auto"/>
          <w:highlight w:val="none"/>
        </w:rPr>
        <w:t>智慧阀门可以实现每个末端冷却设备的流动参数测量、流量分配与能量调节的一体化控制；根据冷却终端设备的工况变化，智慧阀门的运行模式可进行智能化切换，实现节能控制；利用冷却温度最优控制软件，通过对终端冷却设备的负荷分析，实现输配能效与终端设备能效的持续优化。</w:t>
      </w:r>
    </w:p>
    <w:p>
      <w:pPr>
        <w:ind w:firstLine="560"/>
        <w:rPr>
          <w:color w:val="auto"/>
          <w:highlight w:val="none"/>
        </w:rPr>
      </w:pPr>
      <w:r>
        <w:rPr>
          <w:rFonts w:hint="eastAsia"/>
          <w:color w:val="auto"/>
          <w:highlight w:val="none"/>
        </w:rPr>
        <w:t>（2）管网阀门的自动调节</w:t>
      </w:r>
    </w:p>
    <w:p>
      <w:pPr>
        <w:ind w:firstLine="560"/>
        <w:rPr>
          <w:color w:val="auto"/>
          <w:highlight w:val="none"/>
        </w:rPr>
      </w:pPr>
      <w:r>
        <w:rPr>
          <w:rFonts w:hint="eastAsia"/>
          <w:color w:val="auto"/>
          <w:highlight w:val="none"/>
        </w:rPr>
        <w:t>对智慧阀门控制的管网进行高级设定，通过阀门开度的合理化，提高输配能效；当管网的冷却水使用量随机变化时，支管对应的水流量也将自动适应变化、达到按需分配；在线计算分析管网各个单元的冷/热负荷，进行输配能效优化分析，实现技术节能、管理节能与行为节能的一体化。</w:t>
      </w:r>
    </w:p>
    <w:p>
      <w:pPr>
        <w:ind w:firstLine="560"/>
        <w:rPr>
          <w:color w:val="auto"/>
          <w:highlight w:val="none"/>
        </w:rPr>
      </w:pPr>
      <w:r>
        <w:rPr>
          <w:rFonts w:hint="eastAsia"/>
          <w:color w:val="auto"/>
          <w:highlight w:val="none"/>
        </w:rPr>
        <w:t>（3）冷却塔优化控制</w:t>
      </w:r>
    </w:p>
    <w:p>
      <w:pPr>
        <w:ind w:firstLine="560"/>
        <w:rPr>
          <w:color w:val="auto"/>
          <w:highlight w:val="none"/>
        </w:rPr>
      </w:pPr>
      <w:r>
        <w:rPr>
          <w:rFonts w:hint="eastAsia"/>
          <w:color w:val="auto"/>
          <w:highlight w:val="none"/>
        </w:rPr>
        <w:t>根据气候条件、系统所需冷却水流量和各个冷却塔的冷却容量，确定冷却塔的开启台数；通过智慧阀门对各个冷却塔的水流量进行优化分配，使得各个冷却塔的冷却效果整体最佳；利用冷却塔的负荷分析和风机的特性曲线，实现冷却风机的最优节能控制。</w:t>
      </w:r>
    </w:p>
    <w:p>
      <w:pPr>
        <w:ind w:firstLine="560"/>
        <w:rPr>
          <w:color w:val="auto"/>
          <w:highlight w:val="none"/>
        </w:rPr>
      </w:pPr>
      <w:r>
        <w:rPr>
          <w:rFonts w:hint="eastAsia"/>
          <w:color w:val="auto"/>
          <w:highlight w:val="none"/>
        </w:rPr>
        <w:t>（4）泵的节能控制</w:t>
      </w:r>
    </w:p>
    <w:p>
      <w:pPr>
        <w:ind w:firstLine="560"/>
        <w:rPr>
          <w:color w:val="auto"/>
          <w:highlight w:val="none"/>
        </w:rPr>
      </w:pPr>
      <w:r>
        <w:rPr>
          <w:rFonts w:hint="eastAsia"/>
          <w:color w:val="auto"/>
          <w:highlight w:val="none"/>
        </w:rPr>
        <w:t>利用智慧阀门解决流量输配的平衡问题以及管网阻尼过大问题，通过变频技术，可降低水泵的输出功率；根据水泵特性曲线，利用智能阀门结合变频技术，对水泵机组进行优化控制，使水泵运行在高效区。</w:t>
      </w:r>
    </w:p>
    <w:p>
      <w:pPr>
        <w:ind w:firstLine="560"/>
        <w:rPr>
          <w:color w:val="auto"/>
          <w:highlight w:val="none"/>
        </w:rPr>
      </w:pPr>
      <w:r>
        <w:rPr>
          <w:rFonts w:hint="eastAsia"/>
          <w:color w:val="auto"/>
          <w:highlight w:val="none"/>
        </w:rPr>
        <w:t>（5）运用减阻节能剂</w:t>
      </w:r>
    </w:p>
    <w:p>
      <w:pPr>
        <w:ind w:firstLine="560"/>
        <w:rPr>
          <w:color w:val="auto"/>
          <w:highlight w:val="none"/>
        </w:rPr>
      </w:pPr>
      <w:r>
        <w:rPr>
          <w:rFonts w:hint="eastAsia"/>
          <w:color w:val="auto"/>
          <w:highlight w:val="none"/>
        </w:rPr>
        <w:t>该药剂在于降低流体流动阻力实现节能的化学添加剂，国外发达国家对表面活性减阻技术进行了大量的研究工作，取得了很大成效，管道摩擦阻力最高可减少70％以上，减阻节能剂应用于循环水系统中，不仅能够降低管网投资造价，而且能降低循环水泵日常运行的电耗。</w:t>
      </w:r>
    </w:p>
    <w:p>
      <w:pPr>
        <w:pStyle w:val="5"/>
        <w:numPr>
          <w:ilvl w:val="3"/>
          <w:numId w:val="2"/>
        </w:numPr>
        <w:ind w:left="850" w:hanging="850" w:firstLineChars="0"/>
        <w:rPr>
          <w:color w:val="auto"/>
          <w:highlight w:val="none"/>
        </w:rPr>
      </w:pPr>
      <w:r>
        <w:rPr>
          <w:rFonts w:hint="eastAsia"/>
          <w:color w:val="auto"/>
          <w:highlight w:val="none"/>
        </w:rPr>
        <w:t>制冷系统节能措施</w:t>
      </w:r>
    </w:p>
    <w:p>
      <w:pPr>
        <w:ind w:firstLine="560"/>
        <w:rPr>
          <w:color w:val="auto"/>
          <w:highlight w:val="none"/>
        </w:rPr>
      </w:pPr>
      <w:r>
        <w:rPr>
          <w:rFonts w:hint="eastAsia"/>
          <w:color w:val="auto"/>
          <w:highlight w:val="none"/>
        </w:rPr>
        <w:t>（1）采用节能型冷水机，通过微电脑控制实现机组冷量在40%～100%之间进行无级调节，因此机组的冷量能精确地满足建筑物冷负荷的要求，大大降低了机组的能量损耗。</w:t>
      </w:r>
    </w:p>
    <w:p>
      <w:pPr>
        <w:ind w:firstLine="560"/>
        <w:rPr>
          <w:color w:val="auto"/>
          <w:highlight w:val="none"/>
        </w:rPr>
      </w:pPr>
      <w:r>
        <w:rPr>
          <w:rFonts w:hint="eastAsia"/>
          <w:color w:val="auto"/>
          <w:highlight w:val="none"/>
        </w:rPr>
        <w:t>（2）吸吹风实行变频控制。通过对风机实行变频调控，控制新风与回风的使用比例达到合理要求，通过控制风量的变化，增加或减少车间内的换气次数。</w:t>
      </w:r>
    </w:p>
    <w:p>
      <w:pPr>
        <w:ind w:firstLine="560"/>
        <w:rPr>
          <w:color w:val="auto"/>
          <w:highlight w:val="none"/>
        </w:rPr>
      </w:pPr>
      <w:r>
        <w:rPr>
          <w:rFonts w:hint="eastAsia"/>
          <w:color w:val="auto"/>
          <w:highlight w:val="none"/>
        </w:rPr>
        <w:t>（</w:t>
      </w:r>
      <w:r>
        <w:rPr>
          <w:color w:val="auto"/>
          <w:highlight w:val="none"/>
        </w:rPr>
        <w:t>3</w:t>
      </w:r>
      <w:r>
        <w:rPr>
          <w:rFonts w:hint="eastAsia"/>
          <w:color w:val="auto"/>
          <w:highlight w:val="none"/>
        </w:rPr>
        <w:t>）空调机组节能措施</w:t>
      </w:r>
    </w:p>
    <w:p>
      <w:pPr>
        <w:ind w:firstLine="560"/>
        <w:rPr>
          <w:color w:val="auto"/>
          <w:highlight w:val="none"/>
        </w:rPr>
      </w:pPr>
      <w:r>
        <w:rPr>
          <w:rFonts w:hint="eastAsia"/>
          <w:color w:val="auto"/>
          <w:highlight w:val="none"/>
        </w:rPr>
        <w:t>1）回风热量的利用。通过设置空调机组过滤装置，以去除回风油雾和粉尘。夏季回风中含有余冷和低的焓值，可明显降低送风焓差，节约冷量，减少能耗。在冬季回风中热焓较高，尤其在螺杆挤压间和纺丝间，回风温度约在26～30℃，合理的混合回用以减少加热段的使用能耗。</w:t>
      </w:r>
    </w:p>
    <w:p>
      <w:pPr>
        <w:ind w:firstLine="560"/>
        <w:rPr>
          <w:color w:val="auto"/>
          <w:highlight w:val="none"/>
        </w:rPr>
      </w:pPr>
      <w:r>
        <w:rPr>
          <w:rFonts w:hint="eastAsia"/>
          <w:color w:val="auto"/>
          <w:highlight w:val="none"/>
        </w:rPr>
        <w:t>2）正确合理利用回风。利用回风必须做到送风系统的风量平衡，并保证10％~20％的新风混入，以改善车间工作环境，保证操作人员身心健康。</w:t>
      </w:r>
    </w:p>
    <w:p>
      <w:pPr>
        <w:ind w:firstLine="560"/>
        <w:rPr>
          <w:color w:val="auto"/>
          <w:highlight w:val="none"/>
        </w:rPr>
      </w:pPr>
      <w:r>
        <w:rPr>
          <w:rFonts w:hint="eastAsia"/>
          <w:color w:val="auto"/>
          <w:highlight w:val="none"/>
        </w:rPr>
        <w:t>3）优化送回风系统的设计，将大部分回风在用冷间采集。</w:t>
      </w:r>
    </w:p>
    <w:p>
      <w:pPr>
        <w:ind w:firstLine="560"/>
        <w:rPr>
          <w:color w:val="auto"/>
          <w:highlight w:val="none"/>
        </w:rPr>
      </w:pPr>
      <w:r>
        <w:rPr>
          <w:rFonts w:hint="eastAsia"/>
          <w:color w:val="auto"/>
          <w:highlight w:val="none"/>
        </w:rPr>
        <w:t>4）优化空调室布置。空调室布局尽量靠近用冷间，以缩短送回风管道距离减少管道摩擦阻力损失；冷冻站距空调室附近，水系统管道距离短，可减少水系统管道阻力损失和管道温升的冷量损失。</w:t>
      </w:r>
    </w:p>
    <w:p>
      <w:pPr>
        <w:ind w:firstLine="560"/>
        <w:rPr>
          <w:color w:val="auto"/>
          <w:highlight w:val="none"/>
        </w:rPr>
      </w:pPr>
      <w:r>
        <w:rPr>
          <w:rFonts w:hint="eastAsia"/>
          <w:color w:val="auto"/>
          <w:highlight w:val="none"/>
        </w:rPr>
        <w:t>5）空调机组中的回风机、环吹送风机、环境送风机、水幕喷淋泵和喷淋水泵等用电设备采用变频调速控制，根据环境风温度、湿度的变化及工艺车间温湿度的要求进行无极调速。</w:t>
      </w:r>
    </w:p>
    <w:p>
      <w:pPr>
        <w:ind w:firstLine="560"/>
        <w:rPr>
          <w:color w:val="auto"/>
          <w:highlight w:val="none"/>
        </w:rPr>
      </w:pPr>
      <w:r>
        <w:rPr>
          <w:rFonts w:hint="eastAsia"/>
          <w:color w:val="auto"/>
          <w:highlight w:val="none"/>
        </w:rPr>
        <w:t>6）加强生产运行管理节能。合理调整送风参数，送风余压尽可能设定低些，可使送风机在低频率下节能运行。露点温度的设定应根据室外气候变化适当调整，可有效节能。如：在夏季露点温度设定在上限值，在冬季露点温度可设定在下限值，运行能耗会明显降低。</w:t>
      </w:r>
    </w:p>
    <w:p>
      <w:pPr>
        <w:pStyle w:val="5"/>
        <w:numPr>
          <w:ilvl w:val="3"/>
          <w:numId w:val="2"/>
        </w:numPr>
        <w:ind w:left="850" w:hanging="850" w:firstLineChars="0"/>
        <w:rPr>
          <w:color w:val="auto"/>
          <w:highlight w:val="none"/>
        </w:rPr>
      </w:pPr>
      <w:r>
        <w:rPr>
          <w:rFonts w:hint="eastAsia"/>
          <w:color w:val="auto"/>
          <w:highlight w:val="none"/>
        </w:rPr>
        <w:t>建筑</w:t>
      </w:r>
      <w:r>
        <w:rPr>
          <w:color w:val="auto"/>
          <w:highlight w:val="none"/>
        </w:rPr>
        <w:t>节能措施</w:t>
      </w:r>
    </w:p>
    <w:p>
      <w:pPr>
        <w:ind w:firstLine="560"/>
        <w:rPr>
          <w:color w:val="auto"/>
          <w:highlight w:val="none"/>
        </w:rPr>
      </w:pPr>
      <w:r>
        <w:rPr>
          <w:rFonts w:hint="eastAsia"/>
          <w:color w:val="auto"/>
          <w:highlight w:val="none"/>
        </w:rPr>
        <w:t>（1）外墙保温隔热改造</w:t>
      </w:r>
    </w:p>
    <w:p>
      <w:pPr>
        <w:ind w:firstLine="560"/>
        <w:rPr>
          <w:color w:val="auto"/>
          <w:highlight w:val="none"/>
        </w:rPr>
      </w:pPr>
      <w:r>
        <w:rPr>
          <w:rFonts w:hint="eastAsia"/>
          <w:color w:val="auto"/>
          <w:highlight w:val="none"/>
        </w:rPr>
        <w:t>1）外墙</w:t>
      </w:r>
      <w:r>
        <w:rPr>
          <w:color w:val="auto"/>
          <w:highlight w:val="none"/>
        </w:rPr>
        <w:t>保温技术：</w:t>
      </w:r>
      <w:r>
        <w:rPr>
          <w:rFonts w:hint="eastAsia"/>
          <w:color w:val="auto"/>
          <w:highlight w:val="none"/>
        </w:rPr>
        <w:t>在工业建筑改造工程中，外墙外保温技术与外墙内保温技术相比有明显的优势，使用同样尺寸、规格和性能的保温材料，外保温的保温效果比内保温好，构造技术更合理，节能效果更好。采用外保温技术的墙体可以提高内表面的温度，也能得到舒适的室内热环境，这对于旧工业建筑冬季采暖不足的改造来说是非常有利的，同时由于内部墙体热容量较大，室内可以蓄存更多的热量，使诸如间歇采暖或太阳辐射所造成的室内温度变化减缓，有利于室温的稳定。而在夏季，室内温度较高，而采用外保温技术能大大减少太阳辐射热的进入和室外高气温的影响，降低室内空气温度和外墙内表面温度，这对于以自然通风降温为主的厂房来说，采用外墙外保温技术是非常重要的。</w:t>
      </w:r>
    </w:p>
    <w:p>
      <w:pPr>
        <w:ind w:firstLine="560"/>
        <w:rPr>
          <w:color w:val="auto"/>
          <w:highlight w:val="none"/>
        </w:rPr>
      </w:pPr>
      <w:r>
        <w:rPr>
          <w:rFonts w:hint="eastAsia"/>
          <w:color w:val="auto"/>
          <w:highlight w:val="none"/>
        </w:rPr>
        <w:t>2）</w:t>
      </w:r>
      <w:r>
        <w:rPr>
          <w:color w:val="auto"/>
          <w:highlight w:val="none"/>
        </w:rPr>
        <w:t>外墙绿化隔热：</w:t>
      </w:r>
      <w:r>
        <w:rPr>
          <w:rFonts w:hint="eastAsia"/>
          <w:color w:val="auto"/>
          <w:highlight w:val="none"/>
        </w:rPr>
        <w:t>为了达到外墙绿化隔热的效果，旧工业建筑的外墙在向阳方向大面积被植物所遮挡。有两种方式：一种是在外墙上种植攀沿植物来覆盖墙面；另一种是在外墙的外侧种植密集型的树木，用树荫遮挡阳光。为了不影响厂房在冬季日照的要求，南向的墙体适宜种植落叶型植物，在冬季叶子会脱落，使得墙体暴露在阳光之下，吸收太阳能并向室内传递，使墙体成为太阳能集热面，节约常规的采暖能耗。</w:t>
      </w:r>
    </w:p>
    <w:p>
      <w:pPr>
        <w:ind w:firstLine="560"/>
        <w:rPr>
          <w:color w:val="auto"/>
          <w:highlight w:val="none"/>
        </w:rPr>
      </w:pPr>
      <w:r>
        <w:rPr>
          <w:rFonts w:hint="eastAsia"/>
          <w:color w:val="auto"/>
          <w:highlight w:val="none"/>
        </w:rPr>
        <w:t>（2）照明系统改造</w:t>
      </w:r>
    </w:p>
    <w:p>
      <w:pPr>
        <w:ind w:firstLine="560"/>
        <w:rPr>
          <w:color w:val="auto"/>
          <w:highlight w:val="none"/>
        </w:rPr>
      </w:pPr>
      <w:r>
        <w:rPr>
          <w:rFonts w:hint="eastAsia"/>
          <w:color w:val="auto"/>
          <w:highlight w:val="none"/>
        </w:rPr>
        <w:t>工业建筑改造中比较有效的办法主要有几种：增大采光口面积、反光板采光、光导管采光。</w:t>
      </w:r>
    </w:p>
    <w:p>
      <w:pPr>
        <w:ind w:firstLine="560"/>
        <w:rPr>
          <w:color w:val="auto"/>
          <w:highlight w:val="none"/>
        </w:rPr>
      </w:pPr>
      <w:r>
        <w:rPr>
          <w:color w:val="auto"/>
          <w:highlight w:val="none"/>
        </w:rPr>
        <w:t>1</w:t>
      </w:r>
      <w:r>
        <w:rPr>
          <w:rFonts w:hint="eastAsia"/>
          <w:color w:val="auto"/>
          <w:highlight w:val="none"/>
        </w:rPr>
        <w:t>）增大采光口面积：一般来说，增大采光口（屋顶、侧窗）面积是增加室内采光量最行之有效的办法，但是要结合改造后的功能要求合理的设计采光口的数量和大小，而且在使用屋顶采光时，要注意控制避免引发室内温度过高的问题，这种改造方法适用于进深不是特别大的旧工业建筑，对于进深大、跨度大的旧工业建筑，需要考虑加天窗或者高窗。</w:t>
      </w:r>
    </w:p>
    <w:p>
      <w:pPr>
        <w:ind w:firstLine="560"/>
        <w:rPr>
          <w:color w:val="auto"/>
          <w:highlight w:val="none"/>
        </w:rPr>
      </w:pPr>
      <w:r>
        <w:rPr>
          <w:rFonts w:hint="eastAsia"/>
          <w:color w:val="auto"/>
          <w:highlight w:val="none"/>
        </w:rPr>
        <w:t>2）反光板采光：反光板是利用光线反射的原理来调节进入室内的阳光来达到改善室内天然光环境的目的，一般被用来遮阳和将反射的光线引入到旧厂房的顶棚，以防止反光板表面的眩光对人眼的刺激反光板通常安装在眼睛高度以上，是在采光口的内部或者外部的水平或者倾斜的挡板，如果位于窗户的外部，则反光板兼有遮阳板的功能，为下面的玻璃充当挑檐的角色。不仅如此，宽大的挑檐、宽敞的窗台及浅色的地面或者屋顶，都可以充当反光板的作用。</w:t>
      </w:r>
    </w:p>
    <w:p>
      <w:pPr>
        <w:ind w:firstLine="560"/>
        <w:rPr>
          <w:color w:val="auto"/>
          <w:highlight w:val="none"/>
        </w:rPr>
      </w:pPr>
      <w:r>
        <w:rPr>
          <w:rFonts w:hint="eastAsia"/>
          <w:color w:val="auto"/>
          <w:highlight w:val="none"/>
        </w:rPr>
        <w:t>3）光导管采光：分为主动式和被动式两种，主动式光导管的聚光器采光方向总是向着太阳，最大限度的采集太阳光，但是由于此采光器工艺技术高，价格昂贵而且围护困难，在旧工业改造中很少采用。所以实际工业改造中应用较多的是被动式太阳能光导管。被动式太阳能光导管分为采光部分（采光罩、集光器）、导光部分（光导管）和散光部分（散光片、漫射器），采光罩和光导管是连接固定在一起的，安装之后不能移动。光线通过采光罩采集之后，再经过光导管的反射，最终通过散光片均匀的分散到旧工业建筑的内部。</w:t>
      </w:r>
    </w:p>
    <w:p>
      <w:pPr>
        <w:pStyle w:val="3"/>
        <w:numPr>
          <w:ilvl w:val="1"/>
          <w:numId w:val="2"/>
        </w:numPr>
        <w:ind w:left="567" w:hanging="567"/>
        <w:rPr>
          <w:color w:val="auto"/>
          <w:highlight w:val="none"/>
        </w:rPr>
      </w:pPr>
      <w:bookmarkStart w:id="96" w:name="_Toc22629"/>
      <w:r>
        <w:rPr>
          <w:rFonts w:hint="eastAsia"/>
          <w:color w:val="auto"/>
          <w:highlight w:val="none"/>
        </w:rPr>
        <w:t>区域</w:t>
      </w:r>
      <w:r>
        <w:rPr>
          <w:color w:val="auto"/>
          <w:highlight w:val="none"/>
        </w:rPr>
        <w:t>节能管理措施</w:t>
      </w:r>
      <w:bookmarkEnd w:id="96"/>
    </w:p>
    <w:p>
      <w:pPr>
        <w:pStyle w:val="4"/>
        <w:numPr>
          <w:ilvl w:val="2"/>
          <w:numId w:val="2"/>
        </w:numPr>
        <w:ind w:left="709" w:hanging="709"/>
        <w:rPr>
          <w:color w:val="auto"/>
          <w:highlight w:val="none"/>
        </w:rPr>
      </w:pPr>
      <w:bookmarkStart w:id="97" w:name="_Toc7176"/>
      <w:r>
        <w:rPr>
          <w:rFonts w:hint="eastAsia"/>
          <w:color w:val="auto"/>
          <w:highlight w:val="none"/>
        </w:rPr>
        <w:t>能源管理体系</w:t>
      </w:r>
      <w:bookmarkEnd w:id="97"/>
    </w:p>
    <w:p>
      <w:pPr>
        <w:ind w:firstLine="560"/>
        <w:rPr>
          <w:color w:val="auto"/>
          <w:highlight w:val="none"/>
        </w:rPr>
      </w:pPr>
      <w:r>
        <w:rPr>
          <w:rFonts w:hint="eastAsia"/>
          <w:color w:val="auto"/>
          <w:highlight w:val="none"/>
        </w:rPr>
        <w:t>能源管理体系是从体系的全过程出发，遵循系统管理原理，通过实施一套完整的标准、规范，在企业内建立起一个完整有效的、形成文件的能源管理体系，注重建立和实施过程的控制，使企业的活动、过程及其要素不断优化，通过例行节能监测、能源审计、能效对标、内部审核、组织能耗计量与测试、组织能量平衡统计、管理评审、自我评价、节能技改、节能考核等措施，不断提高能源管理体系持续改进的有效性，实现能源管理方针和承诺并达到预期的能源消耗或使用目标。核心内容有四个方面：</w:t>
      </w:r>
    </w:p>
    <w:p>
      <w:pPr>
        <w:pStyle w:val="58"/>
        <w:numPr>
          <w:ilvl w:val="0"/>
          <w:numId w:val="15"/>
        </w:numPr>
        <w:ind w:left="0" w:firstLine="560"/>
        <w:rPr>
          <w:color w:val="auto"/>
          <w:highlight w:val="none"/>
        </w:rPr>
      </w:pPr>
      <w:r>
        <w:rPr>
          <w:rFonts w:hint="eastAsia"/>
          <w:color w:val="auto"/>
          <w:highlight w:val="none"/>
        </w:rPr>
        <w:t>全过程控制思想，应用系统理论和过程方法，以低成本、无成本的管理措施，将组织的能源管理工作与法律法规、政策、标准及其他要求进行有机结合，针对组织用能全过程（能源采购、贮存以及使用等）和生产运营全过程（生产运营、管理运用和生活运营），对组织的能源因素进行识别、控制和管理，实现降低能源消耗、提高能源利用效率的目的。</w:t>
      </w:r>
    </w:p>
    <w:p>
      <w:pPr>
        <w:pStyle w:val="58"/>
        <w:numPr>
          <w:ilvl w:val="0"/>
          <w:numId w:val="15"/>
        </w:numPr>
        <w:ind w:left="0" w:firstLine="560"/>
        <w:rPr>
          <w:color w:val="auto"/>
          <w:highlight w:val="none"/>
        </w:rPr>
      </w:pPr>
      <w:r>
        <w:rPr>
          <w:rFonts w:hint="eastAsia"/>
          <w:color w:val="auto"/>
          <w:highlight w:val="none"/>
        </w:rPr>
        <w:t>运用PDCA理论，充分运用PDCA理论，借鉴和使用先进的节能技术、方法和节能实践，不断提高组织的能源绩效，是能源管理体系的主要要求内容之一。</w:t>
      </w:r>
    </w:p>
    <w:p>
      <w:pPr>
        <w:pStyle w:val="58"/>
        <w:numPr>
          <w:ilvl w:val="0"/>
          <w:numId w:val="15"/>
        </w:numPr>
        <w:ind w:left="0" w:firstLine="560"/>
        <w:rPr>
          <w:color w:val="auto"/>
          <w:highlight w:val="none"/>
        </w:rPr>
      </w:pPr>
      <w:r>
        <w:rPr>
          <w:rFonts w:hint="eastAsia"/>
          <w:color w:val="auto"/>
          <w:highlight w:val="none"/>
        </w:rPr>
        <w:t>充分结合能源管理的特点，将能源管理的特点充分体现在能源管理体系的各项具体要求中，努力与现行的能源管理系方法，如能源诊断等技术相结合。</w:t>
      </w:r>
    </w:p>
    <w:p>
      <w:pPr>
        <w:pStyle w:val="58"/>
        <w:numPr>
          <w:ilvl w:val="0"/>
          <w:numId w:val="15"/>
        </w:numPr>
        <w:ind w:left="0" w:firstLine="560"/>
        <w:rPr>
          <w:color w:val="auto"/>
          <w:highlight w:val="none"/>
        </w:rPr>
      </w:pPr>
      <w:r>
        <w:rPr>
          <w:rFonts w:hint="eastAsia"/>
          <w:color w:val="auto"/>
          <w:highlight w:val="none"/>
        </w:rPr>
        <w:t>充分借鉴现有的管理体系标准，遵循管理体系标准的国际惯例、发展趋势和一般要求，借鉴ISO9000、ISO14000等成熟国际管理体系标准的理念和方法，在标准构架、相关表述和要求方面与国际通行的管理模式相协调。</w:t>
      </w:r>
    </w:p>
    <w:p>
      <w:pPr>
        <w:ind w:firstLine="560"/>
        <w:rPr>
          <w:color w:val="auto"/>
          <w:highlight w:val="none"/>
        </w:rPr>
      </w:pPr>
      <w:r>
        <w:rPr>
          <w:rFonts w:hint="eastAsia"/>
          <w:color w:val="auto"/>
          <w:highlight w:val="none"/>
        </w:rPr>
        <w:t>加强能源管理体系建设是建立节能长效机制、实现</w:t>
      </w:r>
      <w:r>
        <w:rPr>
          <w:rFonts w:hint="eastAsia"/>
          <w:color w:val="auto"/>
          <w:highlight w:val="none"/>
          <w:lang w:eastAsia="zh-CN"/>
        </w:rPr>
        <w:t>“十四五”</w:t>
      </w:r>
      <w:r>
        <w:rPr>
          <w:rFonts w:hint="eastAsia"/>
          <w:color w:val="auto"/>
          <w:highlight w:val="none"/>
        </w:rPr>
        <w:t>节能目标的重要抓手。开发区内重点用能单位通过建立能源管理体系，能够将现有能源管理手段进行整合、提升，并逐步形成节能工作持续改进、能源消耗持续降低、能源效率持续提高的良性机制。在企业能源成本降低的同时，也实现了企业经济效益的最大化，极大地减少了废烟气、废水等废弃物的排放量，最大限度的实现了企业的社会效益</w:t>
      </w:r>
    </w:p>
    <w:p>
      <w:pPr>
        <w:pStyle w:val="4"/>
        <w:numPr>
          <w:ilvl w:val="2"/>
          <w:numId w:val="2"/>
        </w:numPr>
        <w:ind w:left="709" w:hanging="709"/>
        <w:rPr>
          <w:color w:val="auto"/>
          <w:highlight w:val="none"/>
        </w:rPr>
      </w:pPr>
      <w:bookmarkStart w:id="98" w:name="_Toc9708"/>
      <w:r>
        <w:rPr>
          <w:rFonts w:hint="eastAsia"/>
          <w:color w:val="auto"/>
          <w:highlight w:val="none"/>
        </w:rPr>
        <w:t>信息化能源管理系统</w:t>
      </w:r>
      <w:bookmarkEnd w:id="98"/>
    </w:p>
    <w:p>
      <w:pPr>
        <w:ind w:firstLine="560"/>
        <w:rPr>
          <w:color w:val="auto"/>
          <w:highlight w:val="none"/>
        </w:rPr>
      </w:pPr>
      <w:r>
        <w:rPr>
          <w:rFonts w:hint="eastAsia"/>
          <w:color w:val="auto"/>
          <w:highlight w:val="none"/>
        </w:rPr>
        <w:t>企业信息化能源管理系统是依托计算机网络技术、通信技术、计量控制技术等信息化技术，实现能源管理、能源调度、能源计量的数字化、网络化和空间可视化，完善能源基础数据体系，为重点能耗企业建立一套科学完善的能源利用监督、管理、评价体系，创新能源管理模式，系统的总目标是：采用智能技术组建数据库、构建智能化的能源管理信息系统，实现对重点能耗企业能源利用状况进行实时、准确的动态监管，以现代技术手段加强节能管理，加大节能监管力度，提企业节能工作的管理水平。</w:t>
      </w:r>
    </w:p>
    <w:p>
      <w:pPr>
        <w:ind w:firstLine="560"/>
        <w:rPr>
          <w:color w:val="auto"/>
          <w:highlight w:val="none"/>
        </w:rPr>
      </w:pPr>
      <w:r>
        <w:rPr>
          <w:rFonts w:hint="eastAsia"/>
          <w:color w:val="auto"/>
          <w:highlight w:val="none"/>
        </w:rPr>
        <w:t>通过该系统的实施，能够达到以下几个目的：</w:t>
      </w:r>
    </w:p>
    <w:p>
      <w:pPr>
        <w:ind w:firstLine="560"/>
        <w:rPr>
          <w:color w:val="auto"/>
          <w:highlight w:val="none"/>
        </w:rPr>
      </w:pPr>
      <w:r>
        <w:rPr>
          <w:rFonts w:hint="eastAsia"/>
          <w:color w:val="auto"/>
          <w:highlight w:val="none"/>
        </w:rPr>
        <w:t>（1）实现两个层次的服务，即一方面为企业内部管理提供直观、简明、快捷的数据信息查询和决策支持服务；另一方面是为相关管理部门实现企业能源消耗情况的动态数据和信息共享服务。</w:t>
      </w:r>
    </w:p>
    <w:p>
      <w:pPr>
        <w:ind w:firstLine="560"/>
        <w:rPr>
          <w:color w:val="auto"/>
          <w:highlight w:val="none"/>
        </w:rPr>
      </w:pPr>
      <w:r>
        <w:rPr>
          <w:rFonts w:hint="eastAsia"/>
          <w:color w:val="auto"/>
          <w:highlight w:val="none"/>
        </w:rPr>
        <w:t>（2）系统的运行能够充分利用现代网络技术和数据库，通过与企业生产网络平台的对接，实现信息快速传递、共享、管理和应用。</w:t>
      </w:r>
    </w:p>
    <w:p>
      <w:pPr>
        <w:ind w:firstLine="560"/>
        <w:rPr>
          <w:color w:val="auto"/>
          <w:highlight w:val="none"/>
        </w:rPr>
      </w:pPr>
      <w:r>
        <w:rPr>
          <w:rFonts w:hint="eastAsia"/>
          <w:color w:val="auto"/>
          <w:highlight w:val="none"/>
        </w:rPr>
        <w:t>（3）利用数学模型、预测和预警、数据库和数据挖掘等理论方法和技术对有关数据进行深入的加工处理及分析，以提高监控数据的应用水平。</w:t>
      </w:r>
    </w:p>
    <w:p>
      <w:pPr>
        <w:ind w:firstLine="560"/>
        <w:rPr>
          <w:color w:val="auto"/>
          <w:highlight w:val="none"/>
        </w:rPr>
      </w:pPr>
      <w:r>
        <w:rPr>
          <w:rFonts w:hint="eastAsia"/>
          <w:color w:val="auto"/>
          <w:highlight w:val="none"/>
        </w:rPr>
        <w:t>企业能源管理系统建设主要内容有：</w:t>
      </w:r>
    </w:p>
    <w:p>
      <w:pPr>
        <w:ind w:firstLine="560"/>
        <w:rPr>
          <w:color w:val="auto"/>
          <w:highlight w:val="none"/>
        </w:rPr>
      </w:pPr>
      <w:r>
        <w:rPr>
          <w:rFonts w:hint="eastAsia"/>
          <w:color w:val="auto"/>
          <w:highlight w:val="none"/>
        </w:rPr>
        <w:t>（1）基础数据管理。开展基础能源数据、能量数据的计算，为企业开展能源分析等能源管理工作提供数据基础。</w:t>
      </w:r>
    </w:p>
    <w:p>
      <w:pPr>
        <w:ind w:firstLine="560"/>
        <w:rPr>
          <w:color w:val="auto"/>
          <w:highlight w:val="none"/>
        </w:rPr>
      </w:pPr>
      <w:r>
        <w:rPr>
          <w:rFonts w:hint="eastAsia"/>
          <w:color w:val="auto"/>
          <w:highlight w:val="none"/>
        </w:rPr>
        <w:t>（2）能源监控管理。通过对生产现场能源数据和能源设备进行监测，并对采集的数据进行计算、统计，构建能源监控系统。</w:t>
      </w:r>
    </w:p>
    <w:p>
      <w:pPr>
        <w:ind w:firstLine="560"/>
        <w:rPr>
          <w:color w:val="auto"/>
          <w:highlight w:val="none"/>
        </w:rPr>
      </w:pPr>
      <w:r>
        <w:rPr>
          <w:rFonts w:hint="eastAsia"/>
          <w:color w:val="auto"/>
          <w:highlight w:val="none"/>
        </w:rPr>
        <w:t>（3）能源计划统计。通过准确、及时、系统地统计生产的能源购进、贮存、加工、转换、输送分配、使用消耗等环节的基础数据，如实反映生产过程能源系统流程的数量关系和平衡状况，形成能源形成、能源使用情况及变化状况，实现生产过程中各环节能源计量统计信息的汇总和计算分析。</w:t>
      </w:r>
    </w:p>
    <w:p>
      <w:pPr>
        <w:ind w:firstLine="560"/>
        <w:rPr>
          <w:color w:val="auto"/>
          <w:highlight w:val="none"/>
        </w:rPr>
      </w:pPr>
      <w:r>
        <w:rPr>
          <w:rFonts w:hint="eastAsia"/>
          <w:color w:val="auto"/>
          <w:highlight w:val="none"/>
        </w:rPr>
        <w:t>（4）用能对象分析。针对生产流程中的生产设备、装置或工序，通过能量数据，计算用能对象一定周期内的用能指标参数，对用能对象进行深层用能分析，为生产关键装置节能措施提供数据支持。</w:t>
      </w:r>
    </w:p>
    <w:p>
      <w:pPr>
        <w:ind w:firstLine="560"/>
        <w:rPr>
          <w:color w:val="auto"/>
          <w:highlight w:val="none"/>
        </w:rPr>
      </w:pPr>
      <w:r>
        <w:rPr>
          <w:rFonts w:hint="eastAsia"/>
          <w:color w:val="auto"/>
          <w:highlight w:val="none"/>
        </w:rPr>
        <w:t>（5）设备能效分析。针对重点能源设备进行运行管理，分析生产过程的电力设备、工艺设备、批量设备等特点，建立设备能效模型，输入参数进行计算，得出对象的输出参数和运行状态。</w:t>
      </w:r>
    </w:p>
    <w:p>
      <w:pPr>
        <w:pStyle w:val="4"/>
        <w:numPr>
          <w:ilvl w:val="2"/>
          <w:numId w:val="2"/>
        </w:numPr>
        <w:ind w:left="709" w:hanging="709"/>
        <w:rPr>
          <w:color w:val="auto"/>
          <w:highlight w:val="none"/>
        </w:rPr>
      </w:pPr>
      <w:bookmarkStart w:id="99" w:name="_Toc18826"/>
      <w:r>
        <w:rPr>
          <w:rFonts w:hint="eastAsia"/>
          <w:color w:val="auto"/>
          <w:highlight w:val="none"/>
        </w:rPr>
        <w:t>政府节能监管措施</w:t>
      </w:r>
      <w:bookmarkEnd w:id="99"/>
    </w:p>
    <w:p>
      <w:pPr>
        <w:ind w:firstLine="560"/>
        <w:rPr>
          <w:color w:val="auto"/>
          <w:highlight w:val="none"/>
        </w:rPr>
      </w:pPr>
      <w:r>
        <w:rPr>
          <w:rFonts w:hint="eastAsia"/>
          <w:color w:val="auto"/>
          <w:highlight w:val="none"/>
        </w:rPr>
        <w:t>以咸宁</w:t>
      </w:r>
      <w:r>
        <w:rPr>
          <w:color w:val="auto"/>
          <w:highlight w:val="none"/>
        </w:rPr>
        <w:t>高新区管委会</w:t>
      </w:r>
      <w:r>
        <w:rPr>
          <w:rFonts w:hint="eastAsia"/>
          <w:color w:val="auto"/>
          <w:highlight w:val="none"/>
        </w:rPr>
        <w:t>政务服务局、</w:t>
      </w:r>
      <w:r>
        <w:rPr>
          <w:color w:val="auto"/>
          <w:highlight w:val="none"/>
        </w:rPr>
        <w:t>科</w:t>
      </w:r>
      <w:r>
        <w:rPr>
          <w:rFonts w:hint="eastAsia"/>
          <w:color w:val="auto"/>
          <w:highlight w:val="none"/>
        </w:rPr>
        <w:t>经局等</w:t>
      </w:r>
      <w:r>
        <w:rPr>
          <w:color w:val="auto"/>
          <w:highlight w:val="none"/>
        </w:rPr>
        <w:t>部门为</w:t>
      </w:r>
      <w:r>
        <w:rPr>
          <w:rFonts w:hint="eastAsia"/>
          <w:color w:val="auto"/>
          <w:highlight w:val="none"/>
        </w:rPr>
        <w:t>依托</w:t>
      </w:r>
      <w:r>
        <w:rPr>
          <w:color w:val="auto"/>
          <w:highlight w:val="none"/>
        </w:rPr>
        <w:t>，</w:t>
      </w:r>
      <w:r>
        <w:rPr>
          <w:rFonts w:hint="eastAsia"/>
          <w:color w:val="auto"/>
          <w:highlight w:val="none"/>
        </w:rPr>
        <w:t>推进</w:t>
      </w:r>
      <w:r>
        <w:rPr>
          <w:color w:val="auto"/>
          <w:highlight w:val="none"/>
        </w:rPr>
        <w:t>以下</w:t>
      </w:r>
      <w:r>
        <w:rPr>
          <w:rFonts w:hint="eastAsia"/>
          <w:color w:val="auto"/>
          <w:highlight w:val="none"/>
        </w:rPr>
        <w:t>几方面的</w:t>
      </w:r>
      <w:r>
        <w:rPr>
          <w:color w:val="auto"/>
          <w:highlight w:val="none"/>
        </w:rPr>
        <w:t>管理与服务：</w:t>
      </w:r>
    </w:p>
    <w:p>
      <w:pPr>
        <w:ind w:firstLine="560"/>
        <w:rPr>
          <w:color w:val="auto"/>
          <w:highlight w:val="none"/>
        </w:rPr>
      </w:pPr>
      <w:r>
        <w:rPr>
          <w:rFonts w:hint="eastAsia"/>
          <w:color w:val="auto"/>
          <w:highlight w:val="none"/>
        </w:rPr>
        <w:t>1、完善区域负面清单，实施能评分类管理</w:t>
      </w:r>
    </w:p>
    <w:p>
      <w:pPr>
        <w:ind w:firstLine="560"/>
        <w:rPr>
          <w:color w:val="auto"/>
          <w:highlight w:val="none"/>
        </w:rPr>
      </w:pPr>
      <w:r>
        <w:rPr>
          <w:rFonts w:hint="eastAsia"/>
          <w:color w:val="auto"/>
          <w:highlight w:val="none"/>
        </w:rPr>
        <w:t>将评估区域内的项目分为两类，一般项目实行承诺备案制，投资主体应于项目开工前向高新区管委会提出节能备案申请，提交备案资料并作出具有法律效力的书面承诺，承诺内容将作为政府后续监管的重要依据；区内高耗能行业、耗煤项目和节能审查重点项目，需按照相关规定，开展项目节能审查工作。</w:t>
      </w:r>
    </w:p>
    <w:p>
      <w:pPr>
        <w:ind w:firstLine="560"/>
        <w:rPr>
          <w:color w:val="auto"/>
          <w:highlight w:val="none"/>
        </w:rPr>
      </w:pPr>
      <w:r>
        <w:rPr>
          <w:rFonts w:hint="eastAsia"/>
          <w:color w:val="auto"/>
          <w:highlight w:val="none"/>
        </w:rPr>
        <w:t>2、优化审批服务工作，加大项目监管力度</w:t>
      </w:r>
    </w:p>
    <w:p>
      <w:pPr>
        <w:ind w:firstLine="560"/>
        <w:rPr>
          <w:color w:val="auto"/>
          <w:highlight w:val="none"/>
        </w:rPr>
      </w:pPr>
      <w:r>
        <w:rPr>
          <w:rFonts w:hint="eastAsia"/>
          <w:color w:val="auto"/>
          <w:highlight w:val="none"/>
        </w:rPr>
        <w:t>按照“简化审批、放管结合”的原则，减少审批环节，完善服务能源企业工作机制。加强对项目建成投产前、投产运行后的全过程监管，审批环节中注重规划依托、产业政策、手续齐全、程序到位等方面，运行环节中则侧重功能发挥、服务社会、公平运行等方面，推进“事中事后监管”制度化、规范化、程序化，确保各项节能措施落实到位。</w:t>
      </w:r>
    </w:p>
    <w:p>
      <w:pPr>
        <w:ind w:firstLine="560"/>
        <w:rPr>
          <w:color w:val="auto"/>
          <w:highlight w:val="none"/>
        </w:rPr>
      </w:pPr>
      <w:r>
        <w:rPr>
          <w:rFonts w:hint="eastAsia"/>
          <w:color w:val="auto"/>
          <w:highlight w:val="none"/>
        </w:rPr>
        <w:t>3、落实节能竣工验收，严格节能执法监察</w:t>
      </w:r>
    </w:p>
    <w:p>
      <w:pPr>
        <w:ind w:firstLine="560"/>
        <w:rPr>
          <w:color w:val="auto"/>
          <w:highlight w:val="none"/>
        </w:rPr>
      </w:pPr>
      <w:r>
        <w:rPr>
          <w:rFonts w:hint="eastAsia"/>
          <w:color w:val="auto"/>
          <w:highlight w:val="none"/>
        </w:rPr>
        <w:t>项目建成投产前，区域管理机构对照项目备案承诺内容或项目节能评审意见进行节能竣工验收，就项目涉及的产业政策、生产工艺、主要用能设备选型、节能措施等内容的一致性进行核实，验收通过后方可投产运行。未通过节能竣工验收的，责令企业进行整改，完成整改并通过验收后，方可投产运行。在项目投产稳定运行后，不定期对项目实际能耗水平等进行节能监察，纠正违法或不合理用能行为，促进依法用能、合理用能。</w:t>
      </w:r>
    </w:p>
    <w:p>
      <w:pPr>
        <w:ind w:firstLine="560"/>
        <w:rPr>
          <w:color w:val="auto"/>
          <w:highlight w:val="none"/>
        </w:rPr>
      </w:pPr>
      <w:r>
        <w:rPr>
          <w:rFonts w:hint="eastAsia"/>
          <w:color w:val="auto"/>
          <w:highlight w:val="none"/>
        </w:rPr>
        <w:t>4、建立用能预警监测制度，实施能耗奖惩措施</w:t>
      </w:r>
    </w:p>
    <w:p>
      <w:pPr>
        <w:ind w:firstLine="560"/>
        <w:rPr>
          <w:color w:val="auto"/>
          <w:highlight w:val="none"/>
        </w:rPr>
      </w:pPr>
      <w:r>
        <w:rPr>
          <w:rFonts w:hint="eastAsia"/>
          <w:color w:val="auto"/>
          <w:highlight w:val="none"/>
        </w:rPr>
        <w:t>对评估区域内重点能源消费品种的消费、流通以及重点用能企业的节能降耗工作实施监测，并在此基础上开展预警预测分析，及时掌握并分析反映本区能源供应和消费状况，为开展节能降耗提供数据基础。同时，建立企业用能承诺信用制度，制定能耗奖惩措施和能效领跑者工作机制，对完成节能降耗指标有突出贡献的单位进行财政奖励，对未完成节能降耗指标的单位进行通报、罚款。</w:t>
      </w:r>
    </w:p>
    <w:p>
      <w:pPr>
        <w:ind w:firstLine="560"/>
        <w:rPr>
          <w:color w:val="auto"/>
          <w:highlight w:val="none"/>
        </w:rPr>
      </w:pPr>
      <w:r>
        <w:rPr>
          <w:rFonts w:hint="eastAsia"/>
          <w:color w:val="auto"/>
          <w:highlight w:val="none"/>
        </w:rPr>
        <w:t>5、优化能源结构，实现清洁低碳发展</w:t>
      </w:r>
    </w:p>
    <w:p>
      <w:pPr>
        <w:ind w:firstLine="560"/>
        <w:rPr>
          <w:rFonts w:hint="eastAsia"/>
          <w:color w:val="auto"/>
          <w:highlight w:val="none"/>
        </w:rPr>
      </w:pPr>
      <w:r>
        <w:rPr>
          <w:rFonts w:hint="eastAsia"/>
          <w:color w:val="auto"/>
          <w:highlight w:val="none"/>
        </w:rPr>
        <w:t>深入实施“中国制造2025”,深化制造业与互联网融合发展，促进制造业高端化、智能化、绿色化、服务化；出台相关计划和实施方案，不断强化节能环保标准约束，严格行业规范、准入管理和节能审查，实现评估区域内空间布局合理化、产业结构最优化、产业链接循环化、资源利用高效化、污染治理集中化、基础设施绿色化、运行管理规范化；加快对现有产业的循环化改造升级，优化能源结构，实现清洁低碳发展</w:t>
      </w:r>
    </w:p>
    <w:p>
      <w:pPr>
        <w:pStyle w:val="4"/>
        <w:numPr>
          <w:ilvl w:val="2"/>
          <w:numId w:val="2"/>
        </w:numPr>
        <w:ind w:left="709" w:hanging="709"/>
        <w:rPr>
          <w:rFonts w:hint="default" w:ascii="Times New Roman" w:hAnsi="Times New Roman" w:eastAsia="宋体" w:cs="Times New Roman"/>
          <w:color w:val="auto"/>
          <w:highlight w:val="none"/>
        </w:rPr>
      </w:pPr>
      <w:bookmarkStart w:id="100" w:name="_Toc66890992"/>
      <w:bookmarkStart w:id="101" w:name="_Toc16646"/>
      <w:bookmarkStart w:id="102" w:name="_Toc7102"/>
      <w:bookmarkStart w:id="103" w:name="_Toc7411"/>
      <w:r>
        <w:rPr>
          <w:rFonts w:hint="default" w:ascii="Times New Roman" w:hAnsi="Times New Roman" w:eastAsia="宋体" w:cs="Times New Roman"/>
          <w:color w:val="auto"/>
          <w:highlight w:val="none"/>
        </w:rPr>
        <w:t>推进建筑能效提升</w:t>
      </w:r>
      <w:bookmarkEnd w:id="100"/>
      <w:bookmarkEnd w:id="101"/>
      <w:bookmarkEnd w:id="102"/>
      <w:bookmarkEnd w:id="103"/>
    </w:p>
    <w:p>
      <w:pPr>
        <w:pStyle w:val="27"/>
        <w:keepNext w:val="0"/>
        <w:keepLines w:val="0"/>
        <w:pageBreakBefore w:val="0"/>
        <w:widowControl w:val="0"/>
        <w:numPr>
          <w:ilvl w:val="0"/>
          <w:numId w:val="16"/>
        </w:numPr>
        <w:kinsoku/>
        <w:wordWrap/>
        <w:overflowPunct/>
        <w:topLinePunct w:val="0"/>
        <w:autoSpaceDE/>
        <w:autoSpaceDN/>
        <w:bidi w:val="0"/>
        <w:adjustRightInd/>
        <w:snapToGrid/>
        <w:spacing w:after="0"/>
        <w:ind w:firstLine="552"/>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提升新建建筑能效水平</w:t>
      </w:r>
    </w:p>
    <w:p>
      <w:pPr>
        <w:tabs>
          <w:tab w:val="left" w:pos="540"/>
        </w:tabs>
        <w:adjustRightInd w:val="0"/>
        <w:snapToGrid w:val="0"/>
        <w:ind w:firstLine="56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区</w:t>
      </w:r>
      <w:r>
        <w:rPr>
          <w:rFonts w:hint="default" w:ascii="Times New Roman" w:hAnsi="Times New Roman" w:eastAsia="宋体" w:cs="Times New Roman"/>
          <w:color w:val="auto"/>
          <w:szCs w:val="28"/>
          <w:highlight w:val="none"/>
        </w:rPr>
        <w:t>域内新建民用建筑按照一星级及以上绿色建筑标准进行建设， 其中国家机关办公建筑和政府投资或以政府投资为主的公共建筑按</w:t>
      </w:r>
      <w:r>
        <w:rPr>
          <w:rFonts w:hint="default" w:ascii="Times New Roman" w:hAnsi="Times New Roman" w:eastAsia="宋体" w:cs="Times New Roman"/>
          <w:color w:val="auto"/>
          <w:spacing w:val="-9"/>
          <w:highlight w:val="none"/>
        </w:rPr>
        <w:t>照二星级以上绿色建筑强制性标准进行建设，实现从节能建筑到绿色</w:t>
      </w:r>
      <w:r>
        <w:rPr>
          <w:rFonts w:hint="default" w:ascii="Times New Roman" w:hAnsi="Times New Roman" w:eastAsia="宋体" w:cs="Times New Roman"/>
          <w:color w:val="auto"/>
          <w:spacing w:val="-3"/>
          <w:highlight w:val="none"/>
        </w:rPr>
        <w:t>建筑的跨越式发展。</w:t>
      </w:r>
    </w:p>
    <w:p>
      <w:pPr>
        <w:pStyle w:val="27"/>
        <w:keepNext w:val="0"/>
        <w:keepLines w:val="0"/>
        <w:pageBreakBefore w:val="0"/>
        <w:widowControl w:val="0"/>
        <w:numPr>
          <w:ilvl w:val="0"/>
          <w:numId w:val="16"/>
        </w:numPr>
        <w:kinsoku/>
        <w:wordWrap/>
        <w:overflowPunct/>
        <w:topLinePunct w:val="0"/>
        <w:autoSpaceDE/>
        <w:autoSpaceDN/>
        <w:bidi w:val="0"/>
        <w:adjustRightInd/>
        <w:snapToGrid/>
        <w:spacing w:after="0"/>
        <w:ind w:firstLine="552"/>
        <w:textAlignment w:val="auto"/>
        <w:rPr>
          <w:rFonts w:hint="default" w:ascii="Times New Roman" w:hAnsi="Times New Roman" w:eastAsia="宋体" w:cs="Times New Roman"/>
          <w:color w:val="auto"/>
          <w:spacing w:val="-2"/>
          <w:szCs w:val="22"/>
          <w:highlight w:val="none"/>
        </w:rPr>
      </w:pPr>
      <w:r>
        <w:rPr>
          <w:rFonts w:hint="default" w:ascii="Times New Roman" w:hAnsi="Times New Roman" w:eastAsia="宋体" w:cs="Times New Roman"/>
          <w:color w:val="auto"/>
          <w:spacing w:val="-2"/>
          <w:szCs w:val="22"/>
          <w:highlight w:val="none"/>
        </w:rPr>
        <w:t>大力发展装配式建筑</w:t>
      </w:r>
    </w:p>
    <w:p>
      <w:pPr>
        <w:ind w:firstLine="560"/>
        <w:rPr>
          <w:rFonts w:hint="default" w:ascii="Times New Roman" w:hAnsi="Times New Roman" w:eastAsia="宋体" w:cs="Times New Roman"/>
          <w:color w:val="auto"/>
          <w:spacing w:val="-9"/>
          <w:szCs w:val="22"/>
          <w:highlight w:val="none"/>
        </w:rPr>
      </w:pPr>
      <w:r>
        <w:rPr>
          <w:rFonts w:hint="default" w:ascii="Times New Roman" w:hAnsi="Times New Roman" w:eastAsia="宋体" w:cs="Times New Roman"/>
          <w:color w:val="auto"/>
          <w:spacing w:val="-9"/>
          <w:szCs w:val="22"/>
          <w:highlight w:val="none"/>
        </w:rPr>
        <w:t>区域内保障性住房项目全部采用装配式建筑，政府投资的或以政府投资为主的建设项目应采用新型建筑工业化技术，引导农村建设项目逐步采用新型建筑工业化技术。</w:t>
      </w:r>
    </w:p>
    <w:p>
      <w:pPr>
        <w:pStyle w:val="27"/>
        <w:keepNext w:val="0"/>
        <w:keepLines w:val="0"/>
        <w:pageBreakBefore w:val="0"/>
        <w:widowControl w:val="0"/>
        <w:numPr>
          <w:ilvl w:val="0"/>
          <w:numId w:val="16"/>
        </w:numPr>
        <w:kinsoku/>
        <w:wordWrap/>
        <w:overflowPunct/>
        <w:topLinePunct w:val="0"/>
        <w:autoSpaceDE/>
        <w:autoSpaceDN/>
        <w:bidi w:val="0"/>
        <w:adjustRightInd/>
        <w:snapToGrid/>
        <w:spacing w:after="0"/>
        <w:ind w:firstLine="552"/>
        <w:textAlignment w:val="auto"/>
        <w:rPr>
          <w:rFonts w:hint="default" w:ascii="Times New Roman" w:hAnsi="Times New Roman" w:eastAsia="宋体" w:cs="Times New Roman"/>
          <w:color w:val="auto"/>
          <w:spacing w:val="-9"/>
          <w:szCs w:val="22"/>
          <w:highlight w:val="none"/>
        </w:rPr>
      </w:pPr>
      <w:r>
        <w:rPr>
          <w:rFonts w:hint="eastAsia" w:cs="Times New Roman"/>
          <w:color w:val="auto"/>
          <w:spacing w:val="-9"/>
          <w:szCs w:val="22"/>
          <w:highlight w:val="none"/>
          <w:lang w:val="en-US" w:eastAsia="zh-CN"/>
        </w:rPr>
        <w:t>工业厂房</w:t>
      </w:r>
    </w:p>
    <w:p>
      <w:pPr>
        <w:spacing w:line="360" w:lineRule="auto"/>
        <w:ind w:firstLine="560" w:firstLineChars="200"/>
        <w:rPr>
          <w:rFonts w:hint="eastAsia" w:ascii="Times New Roman" w:hAnsi="Times New Roman" w:cs="Arial"/>
          <w:color w:val="auto"/>
          <w:szCs w:val="28"/>
        </w:rPr>
      </w:pPr>
      <w:r>
        <w:rPr>
          <w:rFonts w:hint="eastAsia" w:ascii="Times New Roman" w:hAnsi="Times New Roman" w:cs="Arial"/>
          <w:color w:val="auto"/>
          <w:szCs w:val="28"/>
        </w:rPr>
        <w:t>推广“</w:t>
      </w:r>
      <w:r>
        <w:rPr>
          <w:rFonts w:hint="eastAsia" w:ascii="Times New Roman" w:hAnsi="Times New Roman" w:cs="Arial"/>
          <w:color w:val="auto"/>
          <w:szCs w:val="28"/>
          <w:lang w:val="en-US" w:eastAsia="zh-CN"/>
        </w:rPr>
        <w:t>工业</w:t>
      </w:r>
      <w:r>
        <w:rPr>
          <w:rFonts w:hint="eastAsia" w:ascii="Times New Roman" w:hAnsi="Times New Roman" w:cs="Arial"/>
          <w:color w:val="auto"/>
          <w:szCs w:val="28"/>
        </w:rPr>
        <w:t>绿色建筑”、低能耗</w:t>
      </w:r>
      <w:r>
        <w:rPr>
          <w:rFonts w:hint="eastAsia" w:ascii="Times New Roman" w:hAnsi="Times New Roman" w:cs="Arial"/>
          <w:color w:val="auto"/>
          <w:szCs w:val="28"/>
          <w:lang w:val="en-US" w:eastAsia="zh-CN"/>
        </w:rPr>
        <w:t>工业</w:t>
      </w:r>
      <w:r>
        <w:rPr>
          <w:rFonts w:hint="eastAsia" w:ascii="Times New Roman" w:hAnsi="Times New Roman" w:cs="Arial"/>
          <w:color w:val="auto"/>
          <w:szCs w:val="28"/>
        </w:rPr>
        <w:t>建筑和绿色施工，加快对现有</w:t>
      </w:r>
      <w:r>
        <w:rPr>
          <w:rFonts w:hint="eastAsia" w:ascii="Times New Roman" w:hAnsi="Times New Roman" w:cs="Arial"/>
          <w:color w:val="auto"/>
          <w:szCs w:val="28"/>
          <w:lang w:val="en-US" w:eastAsia="zh-CN"/>
        </w:rPr>
        <w:t>工业</w:t>
      </w:r>
      <w:r>
        <w:rPr>
          <w:rFonts w:hint="eastAsia" w:ascii="Times New Roman" w:hAnsi="Times New Roman" w:cs="Arial"/>
          <w:color w:val="auto"/>
          <w:szCs w:val="28"/>
        </w:rPr>
        <w:t>建筑的节能改造。建筑要充分利用自然光，设置采光带，减少日常昼间照明用电，建筑物的开窗面积和室内表面反射系数符合《建筑采光设计标准》（GB50033-2013）的规定。厂区的设计符合《工业企业总平面设计规范》（GB50187-2012）相关要求。</w:t>
      </w:r>
      <w:r>
        <w:rPr>
          <w:rFonts w:hint="eastAsia" w:ascii="Times New Roman" w:hAnsi="Times New Roman" w:cs="Arial"/>
          <w:color w:val="auto"/>
          <w:szCs w:val="28"/>
          <w:lang w:val="en-US" w:eastAsia="zh-CN"/>
        </w:rPr>
        <w:t>咸宁高新区</w:t>
      </w:r>
      <w:r>
        <w:rPr>
          <w:rFonts w:hint="eastAsia" w:ascii="Times New Roman" w:hAnsi="Times New Roman" w:cs="Arial"/>
          <w:color w:val="auto"/>
          <w:szCs w:val="28"/>
        </w:rPr>
        <w:t>所在地区的建筑气候分区属于夏热冬冷地区。因此，</w:t>
      </w:r>
      <w:r>
        <w:rPr>
          <w:rFonts w:hint="eastAsia" w:ascii="Times New Roman" w:hAnsi="Times New Roman" w:cs="Arial"/>
          <w:color w:val="auto"/>
          <w:szCs w:val="28"/>
          <w:lang w:val="en-US" w:eastAsia="zh-CN"/>
        </w:rPr>
        <w:t>工业</w:t>
      </w:r>
      <w:r>
        <w:rPr>
          <w:rFonts w:hint="eastAsia" w:ascii="Times New Roman" w:hAnsi="Times New Roman" w:cs="Arial"/>
          <w:color w:val="auto"/>
          <w:szCs w:val="28"/>
        </w:rPr>
        <w:t>建筑的布置和设计按照利用冬季日照并避开冬季主导风向，同时利用夏季自然通风的原则进行。</w:t>
      </w:r>
    </w:p>
    <w:p>
      <w:pPr>
        <w:spacing w:line="360" w:lineRule="auto"/>
        <w:ind w:firstLine="560" w:firstLineChars="200"/>
        <w:rPr>
          <w:rFonts w:hint="default" w:ascii="Times New Roman" w:hAnsi="Times New Roman" w:eastAsia="宋体" w:cs="Arial"/>
          <w:color w:val="auto"/>
          <w:szCs w:val="28"/>
          <w:lang w:val="en-US" w:eastAsia="zh-CN"/>
        </w:rPr>
      </w:pPr>
      <w:r>
        <w:rPr>
          <w:rFonts w:hint="eastAsia" w:ascii="Times New Roman" w:hAnsi="Times New Roman" w:eastAsia="宋体" w:cs="Arial"/>
          <w:color w:val="auto"/>
          <w:szCs w:val="28"/>
          <w:lang w:val="en-US" w:eastAsia="zh-CN"/>
        </w:rPr>
        <w:t>工业建筑应按《建筑节能与可再生能源利用通用规范》（GB55015-2021）设置太阳能利用设施。</w:t>
      </w:r>
    </w:p>
    <w:p>
      <w:pPr>
        <w:pStyle w:val="3"/>
        <w:numPr>
          <w:ilvl w:val="1"/>
          <w:numId w:val="2"/>
        </w:numPr>
        <w:ind w:left="567" w:hanging="567"/>
        <w:rPr>
          <w:color w:val="auto"/>
          <w:highlight w:val="none"/>
        </w:rPr>
      </w:pPr>
      <w:bookmarkStart w:id="104" w:name="_Toc11050"/>
      <w:r>
        <w:rPr>
          <w:rFonts w:hint="eastAsia"/>
          <w:color w:val="auto"/>
          <w:highlight w:val="none"/>
        </w:rPr>
        <w:t>区域</w:t>
      </w:r>
      <w:r>
        <w:rPr>
          <w:color w:val="auto"/>
          <w:highlight w:val="none"/>
        </w:rPr>
        <w:t>重点节能工程</w:t>
      </w:r>
      <w:r>
        <w:rPr>
          <w:rFonts w:hint="eastAsia"/>
          <w:color w:val="auto"/>
          <w:highlight w:val="none"/>
        </w:rPr>
        <w:t>与用能结构优化</w:t>
      </w:r>
      <w:bookmarkEnd w:id="104"/>
    </w:p>
    <w:p>
      <w:pPr>
        <w:ind w:firstLine="560"/>
        <w:rPr>
          <w:color w:val="auto"/>
          <w:highlight w:val="none"/>
        </w:rPr>
      </w:pPr>
      <w:r>
        <w:rPr>
          <w:rFonts w:hint="eastAsia"/>
          <w:color w:val="auto"/>
          <w:highlight w:val="none"/>
        </w:rPr>
        <w:t>根据咸宁高新区的能源供应、消费情况，提出建议完善的区域节能工程与区域用能结构优化的措施，便于固定资产投资项目用能方案的合理选择。</w:t>
      </w:r>
    </w:p>
    <w:p>
      <w:pPr>
        <w:pStyle w:val="4"/>
        <w:numPr>
          <w:ilvl w:val="2"/>
          <w:numId w:val="2"/>
        </w:numPr>
        <w:ind w:left="709" w:hanging="709"/>
        <w:rPr>
          <w:color w:val="auto"/>
          <w:highlight w:val="none"/>
        </w:rPr>
      </w:pPr>
      <w:bookmarkStart w:id="105" w:name="_Toc29504"/>
      <w:r>
        <w:rPr>
          <w:rFonts w:hint="eastAsia"/>
          <w:color w:val="auto"/>
          <w:highlight w:val="none"/>
        </w:rPr>
        <w:t>热电</w:t>
      </w:r>
      <w:r>
        <w:rPr>
          <w:color w:val="auto"/>
          <w:highlight w:val="none"/>
        </w:rPr>
        <w:t>联</w:t>
      </w:r>
      <w:r>
        <w:rPr>
          <w:rFonts w:hint="eastAsia"/>
          <w:color w:val="auto"/>
          <w:highlight w:val="none"/>
        </w:rPr>
        <w:t>供及热网</w:t>
      </w:r>
      <w:r>
        <w:rPr>
          <w:color w:val="auto"/>
          <w:highlight w:val="none"/>
        </w:rPr>
        <w:t>工程</w:t>
      </w:r>
      <w:bookmarkEnd w:id="105"/>
    </w:p>
    <w:p>
      <w:pPr>
        <w:tabs>
          <w:tab w:val="left" w:pos="1356"/>
        </w:tabs>
        <w:ind w:firstLine="560"/>
        <w:rPr>
          <w:color w:val="auto"/>
          <w:highlight w:val="none"/>
        </w:rPr>
      </w:pPr>
      <w:r>
        <w:rPr>
          <w:rFonts w:hint="eastAsia"/>
          <w:color w:val="auto"/>
          <w:highlight w:val="none"/>
        </w:rPr>
        <w:t>热电联产热源点生产的电力可就地消纳，一定程度上满足开发区工业企业的用电需求，服务于高新区的发展。目前，咸宁</w:t>
      </w:r>
      <w:r>
        <w:rPr>
          <w:color w:val="auto"/>
          <w:highlight w:val="none"/>
        </w:rPr>
        <w:t>高新</w:t>
      </w:r>
      <w:r>
        <w:rPr>
          <w:rFonts w:hint="eastAsia"/>
          <w:color w:val="auto"/>
          <w:highlight w:val="none"/>
        </w:rPr>
        <w:t>区内没有电厂，电力供应严重依赖外网供给，规划热电联产可增强本地电力供应能力以及可靠性。更为</w:t>
      </w:r>
      <w:r>
        <w:rPr>
          <w:color w:val="auto"/>
          <w:highlight w:val="none"/>
        </w:rPr>
        <w:t>重要的是，可以有效</w:t>
      </w:r>
      <w:r>
        <w:rPr>
          <w:rFonts w:hint="eastAsia"/>
          <w:color w:val="auto"/>
          <w:highlight w:val="none"/>
        </w:rPr>
        <w:t>淘汰现有分散供热锅炉，提供</w:t>
      </w:r>
      <w:r>
        <w:rPr>
          <w:color w:val="auto"/>
          <w:highlight w:val="none"/>
        </w:rPr>
        <w:t>区域用能效率，并使</w:t>
      </w:r>
      <w:r>
        <w:rPr>
          <w:rFonts w:hint="eastAsia"/>
          <w:color w:val="auto"/>
          <w:highlight w:val="none"/>
        </w:rPr>
        <w:t>用热</w:t>
      </w:r>
      <w:r>
        <w:rPr>
          <w:color w:val="auto"/>
          <w:highlight w:val="none"/>
        </w:rPr>
        <w:t>企业</w:t>
      </w:r>
      <w:r>
        <w:rPr>
          <w:rFonts w:hint="eastAsia"/>
          <w:color w:val="auto"/>
          <w:highlight w:val="none"/>
        </w:rPr>
        <w:t>用热</w:t>
      </w:r>
      <w:r>
        <w:rPr>
          <w:color w:val="auto"/>
          <w:highlight w:val="none"/>
        </w:rPr>
        <w:t>成本</w:t>
      </w:r>
      <w:r>
        <w:rPr>
          <w:rFonts w:hint="eastAsia"/>
          <w:color w:val="auto"/>
          <w:highlight w:val="none"/>
        </w:rPr>
        <w:t>更</w:t>
      </w:r>
      <w:r>
        <w:rPr>
          <w:color w:val="auto"/>
          <w:highlight w:val="none"/>
        </w:rPr>
        <w:t>低，用热灵活有保障</w:t>
      </w:r>
      <w:r>
        <w:rPr>
          <w:rFonts w:hint="eastAsia"/>
          <w:color w:val="auto"/>
          <w:highlight w:val="none"/>
        </w:rPr>
        <w:t>。</w:t>
      </w:r>
    </w:p>
    <w:p>
      <w:pPr>
        <w:ind w:firstLine="560"/>
        <w:rPr>
          <w:color w:val="auto"/>
          <w:highlight w:val="none"/>
        </w:rPr>
      </w:pPr>
      <w:r>
        <w:rPr>
          <w:rFonts w:hint="eastAsia"/>
          <w:color w:val="auto"/>
          <w:highlight w:val="none"/>
        </w:rPr>
        <w:t>因此</w:t>
      </w:r>
      <w:r>
        <w:rPr>
          <w:color w:val="auto"/>
          <w:highlight w:val="none"/>
        </w:rPr>
        <w:t>，</w:t>
      </w:r>
      <w:r>
        <w:rPr>
          <w:rFonts w:hint="eastAsia"/>
          <w:color w:val="auto"/>
          <w:highlight w:val="none"/>
        </w:rPr>
        <w:t>应加快湖北环峰能源科技有限公司</w:t>
      </w:r>
      <w:r>
        <w:rPr>
          <w:color w:val="auto"/>
          <w:highlight w:val="none"/>
        </w:rPr>
        <w:t>热电</w:t>
      </w:r>
      <w:r>
        <w:rPr>
          <w:rFonts w:hint="eastAsia"/>
          <w:color w:val="auto"/>
          <w:highlight w:val="none"/>
        </w:rPr>
        <w:t>联供一期工程项目</w:t>
      </w:r>
      <w:r>
        <w:rPr>
          <w:color w:val="auto"/>
          <w:highlight w:val="none"/>
        </w:rPr>
        <w:t>建设，推动远期热力站点及管网建设，</w:t>
      </w:r>
      <w:r>
        <w:rPr>
          <w:rFonts w:hint="eastAsia"/>
          <w:color w:val="auto"/>
          <w:highlight w:val="none"/>
        </w:rPr>
        <w:t>以满足区内热能需求量的增长。近期可</w:t>
      </w:r>
      <w:r>
        <w:rPr>
          <w:color w:val="auto"/>
          <w:highlight w:val="none"/>
        </w:rPr>
        <w:t>从站点</w:t>
      </w:r>
      <w:r>
        <w:rPr>
          <w:rFonts w:hint="eastAsia"/>
          <w:color w:val="auto"/>
          <w:highlight w:val="none"/>
        </w:rPr>
        <w:t>引出三条热力管，北向线路沿龟山路东侧至二期横二路，横穿道路沿横二路北侧至永安东路，沿永安东路西侧至金士达；南向线路沿龟山路东侧至二期官埠大道，架空过河后沿龟山路东侧至旗鼓大道，再沿旗鼓大道西侧至红牛；第三条专线接至热力站对面奥瑞金。远期管网向工业园区东南部延伸，供园区内工业企业热负荷需求，并向西南方向温泉城区延伸供应居民</w:t>
      </w:r>
      <w:r>
        <w:rPr>
          <w:color w:val="auto"/>
          <w:highlight w:val="none"/>
        </w:rPr>
        <w:t>及</w:t>
      </w:r>
      <w:r>
        <w:rPr>
          <w:rFonts w:hint="eastAsia"/>
          <w:color w:val="auto"/>
          <w:highlight w:val="none"/>
        </w:rPr>
        <w:t>相关楼宇</w:t>
      </w:r>
      <w:r>
        <w:rPr>
          <w:color w:val="auto"/>
          <w:highlight w:val="none"/>
        </w:rPr>
        <w:t>。</w:t>
      </w:r>
    </w:p>
    <w:p>
      <w:pPr>
        <w:spacing w:after="190" w:afterLines="50"/>
        <w:ind w:firstLine="560"/>
        <w:rPr>
          <w:color w:val="auto"/>
          <w:highlight w:val="none"/>
        </w:rPr>
      </w:pPr>
      <w:r>
        <w:rPr>
          <w:rFonts w:hint="eastAsia"/>
          <w:color w:val="auto"/>
          <w:highlight w:val="none"/>
        </w:rPr>
        <w:t>该项目</w:t>
      </w:r>
      <w:r>
        <w:rPr>
          <w:color w:val="auto"/>
          <w:highlight w:val="none"/>
        </w:rPr>
        <w:t>建设地点及管网规划如下图所示：</w:t>
      </w:r>
    </w:p>
    <w:p>
      <w:pPr>
        <w:keepNext/>
        <w:ind w:firstLine="0" w:firstLineChars="0"/>
        <w:jc w:val="center"/>
        <w:rPr>
          <w:color w:val="auto"/>
          <w:highlight w:val="none"/>
        </w:rPr>
      </w:pPr>
      <w:r>
        <w:rPr>
          <w:color w:val="auto"/>
          <w:kern w:val="0"/>
          <w:szCs w:val="28"/>
          <w:highlight w:val="none"/>
        </w:rPr>
        <w:drawing>
          <wp:inline distT="0" distB="0" distL="0" distR="0">
            <wp:extent cx="5113020" cy="5563870"/>
            <wp:effectExtent l="0" t="0" r="0" b="0"/>
            <wp:docPr id="13" name="图片 13" descr="ac7a74e740db10c250b9bbff956a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ac7a74e740db10c250b9bbff956ae8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5121964" cy="5573693"/>
                    </a:xfrm>
                    <a:prstGeom prst="rect">
                      <a:avLst/>
                    </a:prstGeom>
                    <a:noFill/>
                    <a:ln>
                      <a:noFill/>
                    </a:ln>
                  </pic:spPr>
                </pic:pic>
              </a:graphicData>
            </a:graphic>
          </wp:inline>
        </w:drawing>
      </w:r>
    </w:p>
    <w:p>
      <w:pPr>
        <w:pStyle w:val="9"/>
        <w:rPr>
          <w:color w:val="auto"/>
          <w:highlight w:val="none"/>
        </w:rPr>
      </w:pPr>
      <w:r>
        <w:rPr>
          <w:rFonts w:hint="eastAsia"/>
          <w:color w:val="auto"/>
          <w:highlight w:val="none"/>
        </w:rPr>
        <w:t xml:space="preserve">图7- </w:t>
      </w:r>
      <w:r>
        <w:rPr>
          <w:color w:val="auto"/>
          <w:highlight w:val="none"/>
        </w:rPr>
        <w:fldChar w:fldCharType="begin"/>
      </w:r>
      <w:r>
        <w:rPr>
          <w:color w:val="auto"/>
          <w:highlight w:val="none"/>
        </w:rPr>
        <w:instrText xml:space="preserve"> </w:instrText>
      </w:r>
      <w:r>
        <w:rPr>
          <w:rFonts w:hint="eastAsia"/>
          <w:color w:val="auto"/>
          <w:highlight w:val="none"/>
        </w:rPr>
        <w:instrText xml:space="preserve">SEQ 图7-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高新区热电联供及热网工程规划</w:t>
      </w:r>
    </w:p>
    <w:p>
      <w:pPr>
        <w:ind w:firstLine="560"/>
        <w:rPr>
          <w:color w:val="auto"/>
          <w:highlight w:val="none"/>
        </w:rPr>
      </w:pPr>
      <w:r>
        <w:rPr>
          <w:rFonts w:hint="eastAsia"/>
          <w:color w:val="auto"/>
          <w:highlight w:val="none"/>
        </w:rPr>
        <w:t>根据相关</w:t>
      </w:r>
      <w:r>
        <w:rPr>
          <w:color w:val="auto"/>
          <w:highlight w:val="none"/>
        </w:rPr>
        <w:t>规划，</w:t>
      </w:r>
      <w:r>
        <w:rPr>
          <w:rFonts w:hint="eastAsia"/>
          <w:color w:val="auto"/>
          <w:highlight w:val="none"/>
        </w:rPr>
        <w:t>高新区未来规划再新建3处热力设施并完善园区热力管网设施，完成区内主管网110公里、支管网220公里的配套建设，届时其产热能力将会进一步增加，全面覆盖高新区内工业级生活用热需求。</w:t>
      </w:r>
    </w:p>
    <w:p>
      <w:pPr>
        <w:pStyle w:val="4"/>
        <w:numPr>
          <w:ilvl w:val="2"/>
          <w:numId w:val="2"/>
        </w:numPr>
        <w:ind w:left="709" w:hanging="709"/>
        <w:rPr>
          <w:color w:val="auto"/>
          <w:highlight w:val="none"/>
        </w:rPr>
      </w:pPr>
      <w:bookmarkStart w:id="106" w:name="_Toc24225"/>
      <w:r>
        <w:rPr>
          <w:rFonts w:hint="eastAsia"/>
          <w:color w:val="auto"/>
          <w:highlight w:val="none"/>
        </w:rPr>
        <w:t>分布式光伏和智能微电网工程</w:t>
      </w:r>
      <w:bookmarkEnd w:id="106"/>
    </w:p>
    <w:p>
      <w:pPr>
        <w:ind w:firstLine="560"/>
        <w:rPr>
          <w:color w:val="auto"/>
          <w:highlight w:val="none"/>
        </w:rPr>
      </w:pPr>
      <w:r>
        <w:rPr>
          <w:rFonts w:hint="eastAsia"/>
          <w:color w:val="auto"/>
          <w:highlight w:val="none"/>
        </w:rPr>
        <w:t>目前，咸宁南玻已采用多晶硅光伏组件作为发电器件将太阳辐射能量转换为直流电能，所发出直流电能通过并网光伏逆变器逆变为符合要求的市电交流电，并入咸宁南玻工业园区的低压供电端，满足生产负载用电的需求。该项目的光伏组件安装位置利用厂房屋顶、车棚及部分厂区空地。总规模为11020.8kW，总投资10711.40万元人民币，年均发电约958.8万kW</w:t>
      </w:r>
      <w:r>
        <w:rPr>
          <w:color w:val="auto"/>
          <w:highlight w:val="none"/>
        </w:rPr>
        <w:t>·</w:t>
      </w:r>
      <w:r>
        <w:rPr>
          <w:rFonts w:hint="eastAsia"/>
          <w:color w:val="auto"/>
          <w:highlight w:val="none"/>
        </w:rPr>
        <w:t>h，有效降低</w:t>
      </w:r>
      <w:r>
        <w:rPr>
          <w:color w:val="auto"/>
          <w:highlight w:val="none"/>
        </w:rPr>
        <w:t>外部</w:t>
      </w:r>
      <w:r>
        <w:rPr>
          <w:rFonts w:hint="eastAsia"/>
          <w:color w:val="auto"/>
          <w:highlight w:val="none"/>
        </w:rPr>
        <w:t>供入</w:t>
      </w:r>
      <w:r>
        <w:rPr>
          <w:color w:val="auto"/>
          <w:highlight w:val="none"/>
        </w:rPr>
        <w:t>电力</w:t>
      </w:r>
      <w:r>
        <w:rPr>
          <w:rFonts w:hint="eastAsia"/>
          <w:color w:val="auto"/>
          <w:highlight w:val="none"/>
        </w:rPr>
        <w:t>的</w:t>
      </w:r>
      <w:r>
        <w:rPr>
          <w:color w:val="auto"/>
          <w:highlight w:val="none"/>
        </w:rPr>
        <w:t>消耗</w:t>
      </w:r>
      <w:r>
        <w:rPr>
          <w:rFonts w:hint="eastAsia"/>
          <w:color w:val="auto"/>
          <w:highlight w:val="none"/>
        </w:rPr>
        <w:t>，</w:t>
      </w:r>
      <w:r>
        <w:rPr>
          <w:color w:val="auto"/>
          <w:highlight w:val="none"/>
        </w:rPr>
        <w:t>节能效果显著。</w:t>
      </w:r>
    </w:p>
    <w:p>
      <w:pPr>
        <w:ind w:firstLine="560"/>
        <w:rPr>
          <w:color w:val="auto"/>
          <w:highlight w:val="none"/>
        </w:rPr>
      </w:pPr>
      <w:r>
        <w:rPr>
          <w:rFonts w:hint="eastAsia"/>
          <w:color w:val="auto"/>
          <w:highlight w:val="none"/>
        </w:rPr>
        <w:t>咸宁高新区应鼓励按照“自发自用、余量上网”的方式，建设屋顶分布式光伏发电系统。以工业企业为重点，推动规模化投资光伏发电建设试点，建立有效的光伏发电经营模式；优先在工业厂房以及商业综合体、专业市场等建筑屋顶建设规模化的分布式光伏发电系统；建筑设计和旧建筑改造中统筹考虑光伏发电应用，建设项目综合能耗超过</w:t>
      </w:r>
      <w:r>
        <w:rPr>
          <w:rFonts w:hint="eastAsia"/>
          <w:color w:val="auto"/>
          <w:highlight w:val="none"/>
          <w:lang w:val="en-US" w:eastAsia="zh-CN"/>
        </w:rPr>
        <w:t>10000</w:t>
      </w:r>
      <w:r>
        <w:rPr>
          <w:rFonts w:hint="eastAsia"/>
          <w:color w:val="auto"/>
          <w:highlight w:val="none"/>
        </w:rPr>
        <w:t>吨标准煤或新建单体屋顶面积达3000平方米以上的工商业和公共建筑，需按照光伏建筑一体化要求进行设计和建设；积极发展和应用融合先进储能技术、信息技术的微电网和智能电网技术，提高电网系统接纳光伏发电的能力。</w:t>
      </w:r>
    </w:p>
    <w:p>
      <w:pPr>
        <w:ind w:firstLine="560"/>
        <w:rPr>
          <w:color w:val="auto"/>
          <w:highlight w:val="none"/>
        </w:rPr>
      </w:pPr>
    </w:p>
    <w:p>
      <w:pPr>
        <w:ind w:firstLine="560"/>
        <w:rPr>
          <w:color w:val="auto"/>
          <w:highlight w:val="none"/>
        </w:rPr>
        <w:sectPr>
          <w:pgSz w:w="11906" w:h="16838"/>
          <w:pgMar w:top="1440" w:right="1800" w:bottom="1440" w:left="1800" w:header="850" w:footer="992" w:gutter="0"/>
          <w:cols w:space="425" w:num="1"/>
          <w:docGrid w:type="lines" w:linePitch="381" w:charSpace="0"/>
        </w:sectPr>
      </w:pPr>
    </w:p>
    <w:p>
      <w:pPr>
        <w:pStyle w:val="2"/>
        <w:numPr>
          <w:ilvl w:val="0"/>
          <w:numId w:val="2"/>
        </w:numPr>
        <w:ind w:left="425" w:leftChars="0" w:hanging="425" w:firstLineChars="0"/>
        <w:rPr>
          <w:color w:val="auto"/>
          <w:highlight w:val="none"/>
        </w:rPr>
      </w:pPr>
      <w:bookmarkStart w:id="107" w:name="_Toc7558"/>
      <w:r>
        <w:rPr>
          <w:rFonts w:hint="eastAsia"/>
          <w:color w:val="auto"/>
          <w:highlight w:val="none"/>
        </w:rPr>
        <w:t>结论</w:t>
      </w:r>
      <w:r>
        <w:rPr>
          <w:color w:val="auto"/>
          <w:highlight w:val="none"/>
        </w:rPr>
        <w:t>与建议</w:t>
      </w:r>
      <w:bookmarkEnd w:id="107"/>
    </w:p>
    <w:p>
      <w:pPr>
        <w:pStyle w:val="3"/>
        <w:numPr>
          <w:ilvl w:val="1"/>
          <w:numId w:val="2"/>
        </w:numPr>
        <w:ind w:left="567" w:hanging="567"/>
        <w:rPr>
          <w:color w:val="auto"/>
          <w:highlight w:val="none"/>
        </w:rPr>
      </w:pPr>
      <w:bookmarkStart w:id="108" w:name="_Toc14826"/>
      <w:r>
        <w:rPr>
          <w:rFonts w:hint="eastAsia"/>
          <w:color w:val="auto"/>
          <w:highlight w:val="none"/>
        </w:rPr>
        <w:t>结论</w:t>
      </w:r>
      <w:bookmarkEnd w:id="108"/>
    </w:p>
    <w:p>
      <w:pPr>
        <w:ind w:firstLine="560"/>
        <w:rPr>
          <w:color w:val="auto"/>
          <w:highlight w:val="none"/>
        </w:rPr>
      </w:pPr>
      <w:r>
        <w:rPr>
          <w:rFonts w:hint="eastAsia"/>
          <w:color w:val="auto"/>
          <w:highlight w:val="none"/>
        </w:rPr>
        <w:t>通过开展咸宁国家高新技术产业开发区区域节能评价工作，重点分析区域用能现状，提出到202</w:t>
      </w:r>
      <w:r>
        <w:rPr>
          <w:rFonts w:hint="eastAsia"/>
          <w:color w:val="auto"/>
          <w:highlight w:val="none"/>
          <w:lang w:val="en-US" w:eastAsia="zh-CN"/>
        </w:rPr>
        <w:t>7</w:t>
      </w:r>
      <w:r>
        <w:rPr>
          <w:rFonts w:hint="eastAsia"/>
          <w:color w:val="auto"/>
          <w:highlight w:val="none"/>
        </w:rPr>
        <w:t>年本区域工业</w:t>
      </w:r>
      <w:r>
        <w:rPr>
          <w:color w:val="auto"/>
          <w:highlight w:val="none"/>
        </w:rPr>
        <w:t>企业</w:t>
      </w:r>
      <w:r>
        <w:rPr>
          <w:rFonts w:hint="eastAsia"/>
          <w:color w:val="auto"/>
          <w:highlight w:val="none"/>
        </w:rPr>
        <w:t>能源消费总量及单位工业产值综合能耗“双控”目标，明确与本区域产业规划相适应的各项节能措施和能效标准，编制区域用能企业负面清单，以审查通过的区域节能报告取代负面清单以外的项目节能评价文件，达到简化行政审批手续、服务企业和落实节能降耗目标任务的目的。</w:t>
      </w:r>
    </w:p>
    <w:p>
      <w:pPr>
        <w:ind w:firstLine="560"/>
        <w:rPr>
          <w:color w:val="auto"/>
          <w:highlight w:val="none"/>
        </w:rPr>
      </w:pPr>
      <w:r>
        <w:rPr>
          <w:rFonts w:hint="eastAsia"/>
          <w:color w:val="auto"/>
          <w:highlight w:val="none"/>
        </w:rPr>
        <w:t>咸宁国家高新技术产业开发区区域能评分析结论如下：</w:t>
      </w:r>
    </w:p>
    <w:p>
      <w:pPr>
        <w:numPr>
          <w:ilvl w:val="0"/>
          <w:numId w:val="17"/>
        </w:numPr>
        <w:ind w:firstLine="560"/>
        <w:rPr>
          <w:rFonts w:asciiTheme="minorEastAsia" w:hAnsiTheme="minorEastAsia" w:eastAsiaTheme="minorEastAsia"/>
          <w:color w:val="auto"/>
          <w:highlight w:val="none"/>
        </w:rPr>
      </w:pPr>
      <w:r>
        <w:rPr>
          <w:rFonts w:hint="eastAsia"/>
          <w:color w:val="auto"/>
          <w:highlight w:val="none"/>
          <w:lang w:val="en-US" w:eastAsia="zh-CN"/>
        </w:rPr>
        <w:t>实际“双控”目标</w:t>
      </w:r>
      <w:r>
        <w:rPr>
          <w:rFonts w:hint="eastAsia"/>
          <w:color w:val="auto"/>
          <w:highlight w:val="none"/>
        </w:rPr>
        <w:t>结合</w:t>
      </w:r>
      <w:r>
        <w:rPr>
          <w:rFonts w:hint="eastAsia"/>
          <w:color w:val="auto"/>
          <w:highlight w:val="none"/>
          <w:lang w:val="en-US" w:eastAsia="zh-CN"/>
        </w:rPr>
        <w:t>咸宁市</w:t>
      </w:r>
      <w:r>
        <w:rPr>
          <w:rFonts w:hint="eastAsia"/>
          <w:color w:val="auto"/>
          <w:highlight w:val="none"/>
        </w:rPr>
        <w:t>能耗强度目标完成情况统筹处理。本</w:t>
      </w:r>
      <w:r>
        <w:rPr>
          <w:color w:val="auto"/>
          <w:highlight w:val="none"/>
        </w:rPr>
        <w:t>报告</w:t>
      </w:r>
      <w:r>
        <w:rPr>
          <w:rFonts w:hint="eastAsia"/>
          <w:color w:val="auto"/>
          <w:highlight w:val="none"/>
        </w:rPr>
        <w:t>“</w:t>
      </w:r>
      <w:r>
        <w:rPr>
          <w:color w:val="auto"/>
          <w:highlight w:val="none"/>
        </w:rPr>
        <w:t>双控</w:t>
      </w:r>
      <w:r>
        <w:rPr>
          <w:rFonts w:hint="eastAsia"/>
          <w:color w:val="auto"/>
          <w:highlight w:val="none"/>
        </w:rPr>
        <w:t>”指标可</w:t>
      </w:r>
      <w:r>
        <w:rPr>
          <w:color w:val="auto"/>
          <w:highlight w:val="none"/>
        </w:rPr>
        <w:t>根据</w:t>
      </w:r>
      <w:r>
        <w:rPr>
          <w:rFonts w:hint="eastAsia"/>
          <w:color w:val="auto"/>
          <w:highlight w:val="none"/>
        </w:rPr>
        <w:t>后期省</w:t>
      </w:r>
      <w:r>
        <w:rPr>
          <w:color w:val="auto"/>
          <w:highlight w:val="none"/>
        </w:rPr>
        <w:t>、市</w:t>
      </w:r>
      <w:r>
        <w:rPr>
          <w:rFonts w:hint="eastAsia"/>
          <w:color w:val="auto"/>
          <w:highlight w:val="none"/>
        </w:rPr>
        <w:t>“十</w:t>
      </w:r>
      <w:r>
        <w:rPr>
          <w:rFonts w:hint="eastAsia"/>
          <w:color w:val="auto"/>
          <w:highlight w:val="none"/>
          <w:lang w:val="en-US" w:eastAsia="zh-CN"/>
        </w:rPr>
        <w:t>四</w:t>
      </w:r>
      <w:r>
        <w:rPr>
          <w:rFonts w:hint="eastAsia"/>
          <w:color w:val="auto"/>
          <w:highlight w:val="none"/>
        </w:rPr>
        <w:t>五”</w:t>
      </w:r>
      <w:r>
        <w:rPr>
          <w:rFonts w:hint="eastAsia"/>
          <w:color w:val="auto"/>
          <w:highlight w:val="none"/>
          <w:lang w:val="en-US" w:eastAsia="zh-CN"/>
        </w:rPr>
        <w:t>中后</w:t>
      </w:r>
      <w:r>
        <w:rPr>
          <w:rFonts w:hint="eastAsia"/>
          <w:color w:val="auto"/>
          <w:highlight w:val="none"/>
        </w:rPr>
        <w:t>期间“双控”目标完成情况及</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十</w:t>
      </w:r>
      <w:r>
        <w:rPr>
          <w:rFonts w:hint="eastAsia" w:asciiTheme="minorEastAsia" w:hAnsiTheme="minorEastAsia" w:eastAsiaTheme="minorEastAsia"/>
          <w:color w:val="auto"/>
          <w:highlight w:val="none"/>
          <w:lang w:val="en-US" w:eastAsia="zh-CN"/>
        </w:rPr>
        <w:t>五</w:t>
      </w:r>
      <w:r>
        <w:rPr>
          <w:rFonts w:hint="eastAsia" w:asciiTheme="minorEastAsia" w:hAnsiTheme="minorEastAsia" w:eastAsiaTheme="minorEastAsia"/>
          <w:color w:val="auto"/>
          <w:highlight w:val="none"/>
        </w:rPr>
        <w:t>五</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节能</w:t>
      </w:r>
      <w:r>
        <w:rPr>
          <w:rFonts w:asciiTheme="minorEastAsia" w:hAnsiTheme="minorEastAsia" w:eastAsiaTheme="minorEastAsia"/>
          <w:color w:val="auto"/>
          <w:highlight w:val="none"/>
        </w:rPr>
        <w:t>减排</w:t>
      </w:r>
      <w:r>
        <w:rPr>
          <w:rFonts w:hint="eastAsia" w:asciiTheme="minorEastAsia" w:hAnsiTheme="minorEastAsia" w:eastAsiaTheme="minorEastAsia"/>
          <w:color w:val="auto"/>
          <w:highlight w:val="none"/>
        </w:rPr>
        <w:t>综合工作</w:t>
      </w:r>
      <w:r>
        <w:rPr>
          <w:rFonts w:asciiTheme="minorEastAsia" w:hAnsiTheme="minorEastAsia" w:eastAsiaTheme="minorEastAsia"/>
          <w:color w:val="auto"/>
          <w:highlight w:val="none"/>
        </w:rPr>
        <w:t>方案</w:t>
      </w:r>
      <w:r>
        <w:rPr>
          <w:rFonts w:hint="eastAsia" w:asciiTheme="minorEastAsia" w:hAnsiTheme="minorEastAsia" w:eastAsiaTheme="minorEastAsia"/>
          <w:color w:val="auto"/>
          <w:highlight w:val="none"/>
        </w:rPr>
        <w:t>进行</w:t>
      </w:r>
      <w:r>
        <w:rPr>
          <w:rFonts w:asciiTheme="minorEastAsia" w:hAnsiTheme="minorEastAsia" w:eastAsiaTheme="minorEastAsia"/>
          <w:color w:val="auto"/>
          <w:highlight w:val="none"/>
        </w:rPr>
        <w:t>调整。</w:t>
      </w:r>
    </w:p>
    <w:p>
      <w:pPr>
        <w:numPr>
          <w:ilvl w:val="0"/>
          <w:numId w:val="17"/>
        </w:numPr>
        <w:ind w:firstLine="560"/>
        <w:rPr>
          <w:color w:val="auto"/>
          <w:highlight w:val="none"/>
        </w:rPr>
      </w:pPr>
      <w:r>
        <w:rPr>
          <w:rFonts w:hint="eastAsia" w:cs="Times New Roman" w:asciiTheme="minorEastAsia" w:hAnsiTheme="minorEastAsia" w:eastAsiaTheme="minorEastAsia"/>
          <w:color w:val="auto"/>
          <w:highlight w:val="none"/>
        </w:rPr>
        <w:t>制定</w:t>
      </w:r>
      <w:r>
        <w:rPr>
          <w:rFonts w:hint="eastAsia"/>
          <w:color w:val="auto"/>
          <w:highlight w:val="none"/>
        </w:rPr>
        <w:t>区域能评负面清单，确定四大类负面清单项目，具体见下表：</w:t>
      </w:r>
    </w:p>
    <w:p>
      <w:pPr>
        <w:pStyle w:val="9"/>
        <w:keepNext/>
        <w:rPr>
          <w:color w:val="auto"/>
          <w:highlight w:val="none"/>
        </w:rPr>
      </w:pPr>
      <w:r>
        <w:rPr>
          <w:rFonts w:hint="eastAsia"/>
          <w:color w:val="auto"/>
          <w:highlight w:val="none"/>
        </w:rPr>
        <w:t xml:space="preserve">表8-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表8-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负面清单信息汇总</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Pr>
      <w:tblGrid>
        <w:gridCol w:w="1568"/>
        <w:gridCol w:w="6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
                <w:bCs/>
                <w:color w:val="auto"/>
                <w:sz w:val="24"/>
                <w:szCs w:val="24"/>
                <w:highlight w:val="none"/>
              </w:rPr>
            </w:pPr>
            <w:r>
              <w:rPr>
                <w:rFonts w:ascii="Times New Roman" w:hAnsi="Times New Roman" w:eastAsiaTheme="minorEastAsia"/>
                <w:b/>
                <w:bCs/>
                <w:color w:val="auto"/>
                <w:sz w:val="24"/>
                <w:szCs w:val="24"/>
                <w:highlight w:val="none"/>
              </w:rPr>
              <w:t>序号</w:t>
            </w:r>
          </w:p>
        </w:tc>
        <w:tc>
          <w:tcPr>
            <w:tcW w:w="6768" w:type="dxa"/>
            <w:tcMar>
              <w:top w:w="15" w:type="dxa"/>
              <w:left w:w="15" w:type="dxa"/>
              <w:right w:w="15" w:type="dxa"/>
            </w:tcMar>
            <w:vAlign w:val="center"/>
          </w:tcPr>
          <w:p>
            <w:pPr>
              <w:pStyle w:val="69"/>
              <w:jc w:val="center"/>
              <w:rPr>
                <w:rFonts w:ascii="Times New Roman" w:hAnsi="Times New Roman" w:eastAsiaTheme="minorEastAsia"/>
                <w:b/>
                <w:bCs/>
                <w:color w:val="auto"/>
                <w:sz w:val="24"/>
                <w:szCs w:val="24"/>
                <w:highlight w:val="none"/>
              </w:rPr>
            </w:pPr>
            <w:r>
              <w:rPr>
                <w:rFonts w:ascii="Times New Roman" w:hAnsi="Times New Roman" w:eastAsiaTheme="minorEastAsia"/>
                <w:b/>
                <w:bCs/>
                <w:color w:val="auto"/>
                <w:sz w:val="24"/>
                <w:szCs w:val="24"/>
                <w:highlight w:val="none"/>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第一类</w:t>
            </w:r>
          </w:p>
        </w:tc>
        <w:tc>
          <w:tcPr>
            <w:tcW w:w="6768" w:type="dxa"/>
            <w:tcMar>
              <w:top w:w="15" w:type="dxa"/>
              <w:left w:w="15" w:type="dxa"/>
              <w:right w:w="15" w:type="dxa"/>
            </w:tcMar>
            <w:vAlign w:val="center"/>
          </w:tcPr>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六大高耗能行业：</w:t>
            </w:r>
          </w:p>
          <w:p>
            <w:pPr>
              <w:pStyle w:val="69"/>
              <w:numPr>
                <w:ilvl w:val="0"/>
                <w:numId w:val="18"/>
              </w:numP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电力热力的生产和供应业</w:t>
            </w:r>
          </w:p>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（2）石油加工炼焦及核燃料加工业</w:t>
            </w:r>
          </w:p>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（3）化学原料及化学制品制造业</w:t>
            </w:r>
          </w:p>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（4）有色金属冶炼及压延加工业</w:t>
            </w:r>
          </w:p>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（5）黑色金属冶炼及压延加工业</w:t>
            </w:r>
          </w:p>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（6）非金属矿物制品业</w:t>
            </w:r>
          </w:p>
          <w:p>
            <w:pPr>
              <w:pStyle w:val="69"/>
              <w:rPr>
                <w:rFonts w:hint="default" w:ascii="Times New Roman" w:hAnsi="Times New Roman" w:eastAsiaTheme="minorEastAsia"/>
                <w:bCs/>
                <w:color w:val="auto"/>
                <w:sz w:val="24"/>
                <w:szCs w:val="24"/>
                <w:highlight w:val="none"/>
                <w:lang w:val="en-US" w:eastAsia="zh-CN"/>
              </w:rPr>
            </w:pPr>
            <w:r>
              <w:rPr>
                <w:rFonts w:hint="eastAsia" w:ascii="Times New Roman" w:hAnsi="Times New Roman" w:eastAsiaTheme="minorEastAsia"/>
                <w:bCs/>
                <w:color w:val="auto"/>
                <w:sz w:val="24"/>
                <w:szCs w:val="24"/>
                <w:highlight w:val="none"/>
                <w:lang w:val="en-US" w:eastAsia="zh-CN"/>
              </w:rPr>
              <w:t>及其他“两高”项目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w:t>
            </w:r>
            <w:r>
              <w:rPr>
                <w:rFonts w:hint="eastAsia" w:ascii="Times New Roman" w:hAnsi="Times New Roman" w:eastAsiaTheme="minorEastAsia"/>
                <w:bCs/>
                <w:color w:val="auto"/>
                <w:sz w:val="24"/>
                <w:szCs w:val="24"/>
                <w:highlight w:val="none"/>
              </w:rPr>
              <w:t>二</w:t>
            </w:r>
            <w:r>
              <w:rPr>
                <w:rFonts w:ascii="Times New Roman" w:hAnsi="Times New Roman" w:eastAsiaTheme="minorEastAsia"/>
                <w:bCs/>
                <w:color w:val="auto"/>
                <w:sz w:val="24"/>
                <w:szCs w:val="24"/>
                <w:highlight w:val="none"/>
              </w:rPr>
              <w:t>类</w:t>
            </w:r>
          </w:p>
        </w:tc>
        <w:tc>
          <w:tcPr>
            <w:tcW w:w="6768" w:type="dxa"/>
            <w:tcMar>
              <w:top w:w="15" w:type="dxa"/>
              <w:left w:w="15" w:type="dxa"/>
              <w:right w:w="15" w:type="dxa"/>
            </w:tcMar>
            <w:vAlign w:val="center"/>
          </w:tcPr>
          <w:p>
            <w:pPr>
              <w:pStyle w:val="69"/>
              <w:rPr>
                <w:rFonts w:ascii="Times New Roman" w:hAnsi="Times New Roman" w:cs="Times New Roman" w:eastAsiaTheme="minorEastAsia"/>
                <w:bCs/>
                <w:color w:val="auto"/>
                <w:kern w:val="2"/>
                <w:sz w:val="24"/>
                <w:szCs w:val="24"/>
                <w:highlight w:val="none"/>
                <w:lang w:val="en-US" w:eastAsia="zh-CN" w:bidi="ar-SA"/>
              </w:rPr>
            </w:pPr>
            <w:r>
              <w:rPr>
                <w:rFonts w:hint="eastAsia" w:ascii="Times New Roman" w:hAnsi="Times New Roman" w:eastAsiaTheme="minorEastAsia"/>
                <w:bCs/>
                <w:color w:val="auto"/>
                <w:sz w:val="24"/>
                <w:szCs w:val="24"/>
                <w:highlight w:val="none"/>
              </w:rPr>
              <w:t>禁燃区范围内禁止新增煤炭消耗量的投资项目；非禁燃区范围内新增煤炭消耗量的投资项目列入负面清单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w:t>
            </w:r>
            <w:r>
              <w:rPr>
                <w:rFonts w:hint="eastAsia" w:ascii="Times New Roman" w:hAnsi="Times New Roman" w:eastAsiaTheme="minorEastAsia"/>
                <w:bCs/>
                <w:color w:val="auto"/>
                <w:sz w:val="24"/>
                <w:szCs w:val="24"/>
                <w:highlight w:val="none"/>
              </w:rPr>
              <w:t>三</w:t>
            </w:r>
            <w:r>
              <w:rPr>
                <w:rFonts w:ascii="Times New Roman" w:hAnsi="Times New Roman" w:eastAsiaTheme="minorEastAsia"/>
                <w:bCs/>
                <w:color w:val="auto"/>
                <w:sz w:val="24"/>
                <w:szCs w:val="24"/>
                <w:highlight w:val="none"/>
              </w:rPr>
              <w:t>类</w:t>
            </w:r>
          </w:p>
        </w:tc>
        <w:tc>
          <w:tcPr>
            <w:tcW w:w="6768" w:type="dxa"/>
            <w:tcMar>
              <w:top w:w="15" w:type="dxa"/>
              <w:left w:w="15" w:type="dxa"/>
              <w:right w:w="15" w:type="dxa"/>
            </w:tcMar>
            <w:vAlign w:val="center"/>
          </w:tcPr>
          <w:p>
            <w:pPr>
              <w:pStyle w:val="69"/>
              <w:numPr>
                <w:ilvl w:val="0"/>
                <w:numId w:val="19"/>
              </w:numPr>
              <w:rPr>
                <w:rFonts w:ascii="Times New Roman" w:hAnsi="Times New Roman" w:eastAsiaTheme="minorEastAsia"/>
                <w:bCs/>
                <w:color w:val="auto"/>
                <w:sz w:val="24"/>
                <w:szCs w:val="24"/>
                <w:highlight w:val="none"/>
              </w:rPr>
            </w:pPr>
            <w:r>
              <w:rPr>
                <w:rFonts w:hint="default" w:ascii="Times New Roman" w:hAnsi="Times New Roman" w:eastAsiaTheme="minorEastAsia"/>
                <w:bCs/>
                <w:color w:val="auto"/>
                <w:sz w:val="24"/>
                <w:szCs w:val="24"/>
                <w:highlight w:val="none"/>
              </w:rPr>
              <w:t>年</w:t>
            </w:r>
            <w:r>
              <w:rPr>
                <w:rFonts w:ascii="Times New Roman" w:hAnsi="Times New Roman" w:eastAsiaTheme="minorEastAsia"/>
                <w:bCs/>
                <w:color w:val="auto"/>
                <w:sz w:val="24"/>
                <w:szCs w:val="24"/>
                <w:highlight w:val="none"/>
              </w:rPr>
              <w:t>能源消费量超过</w:t>
            </w:r>
            <w:r>
              <w:rPr>
                <w:rFonts w:hint="eastAsia" w:ascii="Times New Roman" w:hAnsi="Times New Roman" w:eastAsiaTheme="minorEastAsia"/>
                <w:bCs/>
                <w:color w:val="auto"/>
                <w:sz w:val="24"/>
                <w:szCs w:val="24"/>
                <w:highlight w:val="none"/>
                <w:lang w:val="en-US" w:eastAsia="zh-CN"/>
              </w:rPr>
              <w:t>5</w:t>
            </w:r>
            <w:r>
              <w:rPr>
                <w:rFonts w:hint="default" w:ascii="Times New Roman" w:hAnsi="Times New Roman" w:eastAsiaTheme="minorEastAsia"/>
                <w:bCs/>
                <w:color w:val="auto"/>
                <w:sz w:val="24"/>
                <w:szCs w:val="24"/>
                <w:highlight w:val="none"/>
              </w:rPr>
              <w:t>000吨</w:t>
            </w:r>
            <w:r>
              <w:rPr>
                <w:rFonts w:ascii="Times New Roman" w:hAnsi="Times New Roman" w:eastAsiaTheme="minorEastAsia"/>
                <w:bCs/>
                <w:color w:val="auto"/>
                <w:sz w:val="24"/>
                <w:szCs w:val="24"/>
                <w:highlight w:val="none"/>
              </w:rPr>
              <w:t>标煤</w:t>
            </w:r>
            <w:r>
              <w:rPr>
                <w:rFonts w:hint="default" w:ascii="Times New Roman" w:hAnsi="Times New Roman" w:eastAsiaTheme="minorEastAsia"/>
                <w:bCs/>
                <w:color w:val="auto"/>
                <w:sz w:val="24"/>
                <w:szCs w:val="24"/>
                <w:highlight w:val="none"/>
              </w:rPr>
              <w:t>（当量值）</w:t>
            </w:r>
            <w:r>
              <w:rPr>
                <w:rFonts w:hint="default" w:ascii="Times New Roman" w:hAnsi="Times New Roman" w:eastAsiaTheme="minorEastAsia"/>
                <w:bCs/>
                <w:color w:val="auto"/>
                <w:sz w:val="24"/>
                <w:szCs w:val="24"/>
                <w:highlight w:val="none"/>
                <w:lang w:val="en-US" w:eastAsia="zh-CN"/>
              </w:rPr>
              <w:t>的固定资产投资项目</w:t>
            </w:r>
          </w:p>
          <w:p>
            <w:pPr>
              <w:pStyle w:val="69"/>
              <w:numPr>
                <w:ilvl w:val="0"/>
                <w:numId w:val="19"/>
              </w:numPr>
              <w:rPr>
                <w:rFonts w:ascii="Times New Roman" w:hAnsi="Times New Roman" w:cs="Times New Roman" w:eastAsiaTheme="minorEastAsia"/>
                <w:bCs/>
                <w:color w:val="auto"/>
                <w:kern w:val="2"/>
                <w:sz w:val="24"/>
                <w:szCs w:val="24"/>
                <w:highlight w:val="none"/>
                <w:lang w:val="en-US" w:eastAsia="zh-CN" w:bidi="ar-SA"/>
              </w:rPr>
            </w:pPr>
            <w:r>
              <w:rPr>
                <w:rFonts w:ascii="Times New Roman" w:hAnsi="Times New Roman" w:eastAsiaTheme="minorEastAsia"/>
                <w:bCs/>
                <w:color w:val="auto"/>
                <w:sz w:val="24"/>
                <w:szCs w:val="24"/>
                <w:highlight w:val="none"/>
              </w:rPr>
              <w:t>企业自愿要求开展节能评价审查的项目</w:t>
            </w:r>
          </w:p>
        </w:tc>
      </w:tr>
    </w:tbl>
    <w:p>
      <w:pPr>
        <w:spacing w:line="240" w:lineRule="auto"/>
        <w:ind w:firstLine="0" w:firstLineChars="0"/>
        <w:rPr>
          <w:color w:val="auto"/>
          <w:sz w:val="24"/>
          <w:highlight w:val="none"/>
        </w:rPr>
      </w:pPr>
    </w:p>
    <w:p>
      <w:pPr>
        <w:ind w:firstLine="560"/>
        <w:rPr>
          <w:color w:val="auto"/>
          <w:highlight w:val="none"/>
        </w:rPr>
      </w:pPr>
      <w:r>
        <w:rPr>
          <w:rFonts w:hint="eastAsia"/>
          <w:color w:val="auto"/>
          <w:highlight w:val="none"/>
        </w:rPr>
        <w:t>对区内不属于</w:t>
      </w:r>
      <w:r>
        <w:rPr>
          <w:color w:val="auto"/>
          <w:highlight w:val="none"/>
        </w:rPr>
        <w:t>负面清单</w:t>
      </w:r>
      <w:r>
        <w:rPr>
          <w:rFonts w:hint="eastAsia"/>
          <w:color w:val="auto"/>
          <w:highlight w:val="none"/>
        </w:rPr>
        <w:t>的一般项目实行承诺备案管理，不再</w:t>
      </w:r>
      <w:r>
        <w:rPr>
          <w:color w:val="auto"/>
          <w:highlight w:val="none"/>
        </w:rPr>
        <w:t>单独进行节能审查</w:t>
      </w:r>
      <w:r>
        <w:rPr>
          <w:rFonts w:hint="eastAsia"/>
          <w:color w:val="auto"/>
          <w:highlight w:val="none"/>
        </w:rPr>
        <w:t>，</w:t>
      </w:r>
      <w:r>
        <w:rPr>
          <w:color w:val="auto"/>
          <w:highlight w:val="none"/>
        </w:rPr>
        <w:t>项目建设单位</w:t>
      </w:r>
      <w:r>
        <w:rPr>
          <w:rFonts w:hint="eastAsia"/>
          <w:color w:val="auto"/>
          <w:highlight w:val="none"/>
        </w:rPr>
        <w:t>填写节能承诺备案表（附件</w:t>
      </w:r>
      <w:r>
        <w:rPr>
          <w:color w:val="auto"/>
          <w:highlight w:val="none"/>
        </w:rPr>
        <w:t>一</w:t>
      </w:r>
      <w:r>
        <w:rPr>
          <w:rFonts w:hint="eastAsia"/>
          <w:color w:val="auto"/>
          <w:highlight w:val="none"/>
        </w:rPr>
        <w:t>），</w:t>
      </w:r>
      <w:r>
        <w:rPr>
          <w:color w:val="auto"/>
          <w:highlight w:val="none"/>
        </w:rPr>
        <w:t>提交</w:t>
      </w:r>
      <w:r>
        <w:rPr>
          <w:rFonts w:hint="eastAsia"/>
          <w:color w:val="auto"/>
          <w:highlight w:val="none"/>
        </w:rPr>
        <w:t>高新区</w:t>
      </w:r>
      <w:r>
        <w:rPr>
          <w:color w:val="auto"/>
          <w:highlight w:val="none"/>
        </w:rPr>
        <w:t>节能主管部</w:t>
      </w:r>
      <w:r>
        <w:rPr>
          <w:rFonts w:hint="eastAsia"/>
          <w:color w:val="auto"/>
          <w:highlight w:val="none"/>
        </w:rPr>
        <w:t>门进行</w:t>
      </w:r>
      <w:r>
        <w:rPr>
          <w:color w:val="auto"/>
          <w:highlight w:val="none"/>
        </w:rPr>
        <w:t>备案</w:t>
      </w:r>
      <w:r>
        <w:rPr>
          <w:rFonts w:hint="eastAsia"/>
          <w:color w:val="auto"/>
          <w:highlight w:val="none"/>
        </w:rPr>
        <w:t>；对负面清单内的项目仍按照《湖北省固定资产投资项目节能审查实施办法》实行项目节能评估审查。</w:t>
      </w:r>
    </w:p>
    <w:p>
      <w:pPr>
        <w:numPr>
          <w:ilvl w:val="0"/>
          <w:numId w:val="17"/>
        </w:numPr>
        <w:ind w:firstLine="560"/>
        <w:rPr>
          <w:color w:val="auto"/>
          <w:highlight w:val="none"/>
        </w:rPr>
      </w:pPr>
      <w:r>
        <w:rPr>
          <w:rFonts w:hint="eastAsia"/>
          <w:color w:val="auto"/>
          <w:highlight w:val="none"/>
        </w:rPr>
        <w:t>根据《上海产业能效指南（20</w:t>
      </w:r>
      <w:r>
        <w:rPr>
          <w:rFonts w:hint="eastAsia"/>
          <w:color w:val="auto"/>
          <w:highlight w:val="none"/>
          <w:lang w:val="en-US" w:eastAsia="zh-CN"/>
        </w:rPr>
        <w:t>21</w:t>
      </w:r>
      <w:r>
        <w:rPr>
          <w:rFonts w:hint="eastAsia"/>
          <w:color w:val="auto"/>
          <w:highlight w:val="none"/>
        </w:rPr>
        <w:t>年版）》和国家、先进地区已颁布实施的部分能耗标准，汇总整理咸宁国家高新技术产业开发区玻璃制造、饮料制造等行业的能效控制指标，供审批部门备案时参考</w:t>
      </w:r>
      <w:r>
        <w:rPr>
          <w:color w:val="auto"/>
          <w:highlight w:val="none"/>
        </w:rPr>
        <w:t>、</w:t>
      </w:r>
      <w:r>
        <w:rPr>
          <w:rFonts w:hint="eastAsia"/>
          <w:color w:val="auto"/>
          <w:highlight w:val="none"/>
        </w:rPr>
        <w:t>查阅。</w:t>
      </w:r>
    </w:p>
    <w:p>
      <w:pPr>
        <w:numPr>
          <w:ilvl w:val="0"/>
          <w:numId w:val="17"/>
        </w:numPr>
        <w:ind w:firstLine="560"/>
        <w:rPr>
          <w:rFonts w:hint="eastAsia"/>
          <w:color w:val="auto"/>
          <w:highlight w:val="none"/>
        </w:rPr>
      </w:pPr>
      <w:r>
        <w:rPr>
          <w:rFonts w:hint="eastAsia"/>
          <w:color w:val="auto"/>
          <w:highlight w:val="none"/>
        </w:rPr>
        <w:t>提出区域节能措施：针对高新区内各主要行业用能特点和</w:t>
      </w:r>
      <w:r>
        <w:rPr>
          <w:color w:val="auto"/>
          <w:highlight w:val="none"/>
        </w:rPr>
        <w:t>节能潜力</w:t>
      </w:r>
      <w:r>
        <w:rPr>
          <w:rFonts w:hint="eastAsia"/>
          <w:color w:val="auto"/>
          <w:highlight w:val="none"/>
        </w:rPr>
        <w:t>，分别提出了玻璃制造、食品饮料、先进制造、涂料化工行业的先进节能技术以及能源管理体系、信息化能源管理系统等先进节能管理措施。建议开展热电联产及管网工程、分布式光伏和智能微电网工程建设，促进</w:t>
      </w:r>
      <w:r>
        <w:rPr>
          <w:color w:val="auto"/>
          <w:highlight w:val="none"/>
        </w:rPr>
        <w:t>清洁能源的利用</w:t>
      </w:r>
      <w:r>
        <w:rPr>
          <w:rFonts w:hint="eastAsia"/>
          <w:color w:val="auto"/>
          <w:highlight w:val="none"/>
        </w:rPr>
        <w:t>和</w:t>
      </w:r>
      <w:r>
        <w:rPr>
          <w:color w:val="auto"/>
          <w:highlight w:val="none"/>
        </w:rPr>
        <w:t>区域节能减排。</w:t>
      </w:r>
    </w:p>
    <w:p>
      <w:pPr>
        <w:pStyle w:val="3"/>
        <w:numPr>
          <w:ilvl w:val="1"/>
          <w:numId w:val="2"/>
        </w:numPr>
        <w:ind w:left="567" w:hanging="567"/>
        <w:rPr>
          <w:color w:val="auto"/>
          <w:highlight w:val="none"/>
        </w:rPr>
      </w:pPr>
      <w:bookmarkStart w:id="109" w:name="_Toc1268"/>
      <w:r>
        <w:rPr>
          <w:rFonts w:hint="eastAsia"/>
          <w:color w:val="auto"/>
          <w:highlight w:val="none"/>
        </w:rPr>
        <w:t>建议</w:t>
      </w:r>
      <w:bookmarkEnd w:id="109"/>
    </w:p>
    <w:p>
      <w:pPr>
        <w:ind w:firstLine="560"/>
        <w:rPr>
          <w:color w:val="auto"/>
          <w:highlight w:val="none"/>
        </w:rPr>
      </w:pPr>
      <w:r>
        <w:rPr>
          <w:rFonts w:hint="eastAsia"/>
          <w:color w:val="auto"/>
          <w:highlight w:val="none"/>
        </w:rPr>
        <w:t>（1）建立健全相关能耗标准体系。建立健全区域重点用能行业能效标准体系，开展行业能效领跑者活动，可根据单位产品能耗、单位产品电耗（kW</w:t>
      </w:r>
      <w:r>
        <w:rPr>
          <w:color w:val="auto"/>
          <w:highlight w:val="none"/>
        </w:rPr>
        <w:t>·</w:t>
      </w:r>
      <w:r>
        <w:rPr>
          <w:rFonts w:hint="eastAsia"/>
          <w:color w:val="auto"/>
          <w:highlight w:val="none"/>
        </w:rPr>
        <w:t>h/单位产品）、万元产值能耗（吨标煤/万元）、万元增加值能耗（吨标煤/万元）等能效指标，在玻璃、饮料、纺织、先进制造等重点用能行业推出一批能源利用效率领先的行业标杆，为区域能评提供能效对标提供参考。咸宁高新区可根据区域产业的发展现状，适时制订严于国家、行业和省级标准的区域能效标准，提高区域能源利用效率，提升区域产业发展水平。</w:t>
      </w:r>
    </w:p>
    <w:p>
      <w:pPr>
        <w:ind w:firstLine="560"/>
        <w:rPr>
          <w:color w:val="auto"/>
          <w:highlight w:val="none"/>
        </w:rPr>
      </w:pPr>
      <w:r>
        <w:rPr>
          <w:rFonts w:hint="eastAsia"/>
          <w:color w:val="auto"/>
          <w:highlight w:val="none"/>
        </w:rPr>
        <w:t>（2）实施用能预算化管理制度。建立区域内用能预算化管理体系，推行用能预算化管理制度。提出新上负面清单内项目产能，按能源总量许可进行安排的科学建议。能源总量不足安排的，必须按照“等量置换”或“减量置换”的原则淘汰相应产能，推动用能管理精细化、科学化，实现用能的高效配置，确保实现区域能源消费总量的动态平衡。</w:t>
      </w:r>
    </w:p>
    <w:p>
      <w:pPr>
        <w:ind w:firstLine="560"/>
        <w:rPr>
          <w:color w:val="auto"/>
          <w:highlight w:val="none"/>
        </w:rPr>
      </w:pPr>
      <w:r>
        <w:rPr>
          <w:rFonts w:hint="eastAsia"/>
          <w:color w:val="auto"/>
          <w:highlight w:val="none"/>
        </w:rPr>
        <w:t>（3）推动企业进行能源三级计量配备，以便对企业产品进行能耗考核；建立区域内智慧能源管理系统，完善用能企业的能耗统计制度与统计平台，对用能总量及能效指标进行实时监控及调阅分析，做好“双控”及“平衡”工作。</w:t>
      </w:r>
    </w:p>
    <w:p>
      <w:pPr>
        <w:ind w:firstLine="560"/>
        <w:rPr>
          <w:color w:val="auto"/>
          <w:highlight w:val="none"/>
        </w:rPr>
      </w:pPr>
      <w:r>
        <w:rPr>
          <w:rFonts w:hint="eastAsia"/>
          <w:color w:val="auto"/>
          <w:highlight w:val="none"/>
        </w:rPr>
        <w:t>（4）本次区域节能评估报告有效期限至</w:t>
      </w:r>
      <w:r>
        <w:rPr>
          <w:rFonts w:hint="eastAsia"/>
          <w:color w:val="auto"/>
          <w:highlight w:val="none"/>
          <w:lang w:val="en-US" w:eastAsia="zh-CN"/>
        </w:rPr>
        <w:t>2027</w:t>
      </w:r>
      <w:r>
        <w:rPr>
          <w:rFonts w:hint="eastAsia"/>
          <w:color w:val="auto"/>
          <w:highlight w:val="none"/>
        </w:rPr>
        <w:t>年末，有效期内可根据上级产业政策、能源管理政策变化或视区域实际情况，对能源控制目标及负面清单进行动态调整。</w:t>
      </w:r>
    </w:p>
    <w:p>
      <w:pPr>
        <w:ind w:firstLine="560"/>
        <w:rPr>
          <w:color w:val="auto"/>
          <w:highlight w:val="none"/>
        </w:rPr>
      </w:pPr>
    </w:p>
    <w:p>
      <w:pPr>
        <w:ind w:firstLine="560"/>
        <w:rPr>
          <w:color w:val="auto"/>
          <w:highlight w:val="none"/>
        </w:rPr>
      </w:pPr>
    </w:p>
    <w:p>
      <w:pPr>
        <w:spacing w:line="240" w:lineRule="auto"/>
        <w:ind w:firstLine="0" w:firstLineChars="0"/>
        <w:jc w:val="left"/>
        <w:rPr>
          <w:rFonts w:hint="eastAsia" w:ascii="黑体" w:hAnsi="黑体" w:eastAsia="黑体"/>
          <w:color w:val="auto"/>
          <w:highlight w:val="none"/>
        </w:rPr>
        <w:sectPr>
          <w:footerReference r:id="rId12" w:type="default"/>
          <w:pgSz w:w="11906" w:h="16838"/>
          <w:pgMar w:top="1440" w:right="1800" w:bottom="1440" w:left="1800" w:header="851" w:footer="992" w:gutter="0"/>
          <w:cols w:space="425" w:num="1"/>
          <w:docGrid w:type="lines" w:linePitch="381" w:charSpace="0"/>
        </w:sectPr>
      </w:pPr>
    </w:p>
    <w:p>
      <w:pPr>
        <w:pStyle w:val="2"/>
        <w:numPr>
          <w:ilvl w:val="0"/>
          <w:numId w:val="0"/>
        </w:numPr>
        <w:ind w:leftChars="0"/>
        <w:jc w:val="both"/>
        <w:rPr>
          <w:rFonts w:hint="eastAsia"/>
          <w:color w:val="auto"/>
          <w:highlight w:val="none"/>
        </w:rPr>
      </w:pPr>
      <w:bookmarkStart w:id="110" w:name="_Toc235"/>
      <w:r>
        <w:rPr>
          <w:rFonts w:hint="eastAsia"/>
          <w:color w:val="auto"/>
          <w:highlight w:val="none"/>
        </w:rPr>
        <w:t>附件一</w:t>
      </w:r>
      <w:bookmarkStart w:id="111" w:name="_Toc10581"/>
      <w:r>
        <w:rPr>
          <w:rFonts w:hint="eastAsia"/>
          <w:color w:val="auto"/>
          <w:highlight w:val="none"/>
          <w:lang w:val="en-US" w:eastAsia="zh-CN"/>
        </w:rPr>
        <w:t xml:space="preserve">                     </w:t>
      </w:r>
      <w:r>
        <w:rPr>
          <w:rFonts w:hint="eastAsia"/>
          <w:color w:val="auto"/>
          <w:highlight w:val="none"/>
        </w:rPr>
        <w:t>固定资产投资项目节能承诺备案表</w:t>
      </w:r>
      <w:bookmarkEnd w:id="110"/>
      <w:bookmarkEnd w:id="111"/>
    </w:p>
    <w:tbl>
      <w:tblPr>
        <w:tblStyle w:val="28"/>
        <w:tblW w:w="139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1090"/>
        <w:gridCol w:w="1699"/>
        <w:gridCol w:w="2080"/>
        <w:gridCol w:w="895"/>
        <w:gridCol w:w="57"/>
        <w:gridCol w:w="712"/>
        <w:gridCol w:w="792"/>
        <w:gridCol w:w="189"/>
        <w:gridCol w:w="834"/>
        <w:gridCol w:w="73"/>
        <w:gridCol w:w="1304"/>
        <w:gridCol w:w="438"/>
        <w:gridCol w:w="1322"/>
        <w:gridCol w:w="25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项目概况</w:t>
            </w: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项目名称</w:t>
            </w:r>
          </w:p>
        </w:tc>
        <w:tc>
          <w:tcPr>
            <w:tcW w:w="11205" w:type="dxa"/>
            <w:gridSpan w:val="1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项目建设单位</w:t>
            </w:r>
          </w:p>
        </w:tc>
        <w:tc>
          <w:tcPr>
            <w:tcW w:w="5632" w:type="dxa"/>
            <w:gridSpan w:val="8"/>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0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Style w:val="97"/>
                <w:rFonts w:hint="eastAsia" w:ascii="宋体" w:hAnsi="宋体" w:eastAsia="宋体" w:cs="宋体"/>
                <w:color w:val="auto"/>
                <w:sz w:val="20"/>
                <w:szCs w:val="20"/>
                <w:highlight w:val="none"/>
              </w:rPr>
            </w:pPr>
            <w:r>
              <w:rPr>
                <w:rStyle w:val="97"/>
                <w:rFonts w:hint="eastAsia" w:ascii="宋体" w:hAnsi="宋体" w:eastAsia="宋体" w:cs="宋体"/>
                <w:color w:val="auto"/>
                <w:sz w:val="20"/>
                <w:szCs w:val="20"/>
                <w:highlight w:val="none"/>
              </w:rPr>
              <w:t>联系人姓名</w:t>
            </w:r>
          </w:p>
        </w:tc>
        <w:tc>
          <w:tcPr>
            <w:tcW w:w="250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Style w:val="97"/>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5632" w:type="dxa"/>
            <w:gridSpan w:val="8"/>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0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Style w:val="97"/>
                <w:rFonts w:hint="eastAsia" w:ascii="宋体" w:hAnsi="宋体" w:eastAsia="宋体" w:cs="宋体"/>
                <w:color w:val="auto"/>
                <w:sz w:val="20"/>
                <w:szCs w:val="20"/>
                <w:highlight w:val="none"/>
              </w:rPr>
            </w:pPr>
            <w:r>
              <w:rPr>
                <w:rStyle w:val="97"/>
                <w:rFonts w:hint="eastAsia" w:ascii="宋体" w:hAnsi="宋体" w:eastAsia="宋体" w:cs="宋体"/>
                <w:color w:val="auto"/>
                <w:sz w:val="20"/>
                <w:szCs w:val="20"/>
                <w:highlight w:val="none"/>
              </w:rPr>
              <w:t>联系方式（手机）</w:t>
            </w:r>
          </w:p>
        </w:tc>
        <w:tc>
          <w:tcPr>
            <w:tcW w:w="250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Style w:val="97"/>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项目建设地点</w:t>
            </w:r>
          </w:p>
        </w:tc>
        <w:tc>
          <w:tcPr>
            <w:tcW w:w="11205" w:type="dxa"/>
            <w:gridSpan w:val="1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项目性质</w:t>
            </w:r>
          </w:p>
        </w:tc>
        <w:tc>
          <w:tcPr>
            <w:tcW w:w="3032"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color w:val="auto"/>
                <w:kern w:val="0"/>
                <w:sz w:val="20"/>
                <w:szCs w:val="20"/>
                <w:highlight w:val="none"/>
              </w:rPr>
              <w:t xml:space="preserve">新建□ 改建□ 扩建□ </w:t>
            </w:r>
          </w:p>
        </w:tc>
        <w:tc>
          <w:tcPr>
            <w:tcW w:w="1504"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投资管理类别</w:t>
            </w:r>
          </w:p>
        </w:tc>
        <w:tc>
          <w:tcPr>
            <w:tcW w:w="240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olor w:val="auto"/>
                <w:kern w:val="0"/>
                <w:sz w:val="20"/>
                <w:szCs w:val="20"/>
                <w:highlight w:val="none"/>
              </w:rPr>
              <w:t>审批□</w:t>
            </w:r>
            <w:r>
              <w:rPr>
                <w:rFonts w:hint="eastAsia" w:ascii="宋体" w:hAnsi="宋体"/>
                <w:color w:val="auto"/>
                <w:kern w:val="0"/>
                <w:sz w:val="20"/>
                <w:szCs w:val="20"/>
                <w:highlight w:val="none"/>
                <w:lang w:val="en-US" w:eastAsia="zh-CN"/>
              </w:rPr>
              <w:t xml:space="preserve"> </w:t>
            </w:r>
            <w:r>
              <w:rPr>
                <w:rFonts w:hint="eastAsia" w:ascii="宋体" w:hAnsi="宋体"/>
                <w:color w:val="auto"/>
                <w:kern w:val="0"/>
                <w:sz w:val="20"/>
                <w:szCs w:val="20"/>
                <w:highlight w:val="none"/>
              </w:rPr>
              <w:t>核准□</w:t>
            </w:r>
            <w:r>
              <w:rPr>
                <w:rFonts w:hint="eastAsia" w:ascii="宋体" w:hAnsi="宋体"/>
                <w:color w:val="auto"/>
                <w:kern w:val="0"/>
                <w:sz w:val="20"/>
                <w:szCs w:val="20"/>
                <w:highlight w:val="none"/>
                <w:lang w:val="en-US" w:eastAsia="zh-CN"/>
              </w:rPr>
              <w:t xml:space="preserve"> </w:t>
            </w:r>
            <w:r>
              <w:rPr>
                <w:rFonts w:hint="eastAsia" w:ascii="宋体" w:hAnsi="宋体"/>
                <w:color w:val="auto"/>
                <w:kern w:val="0"/>
                <w:sz w:val="20"/>
                <w:szCs w:val="20"/>
                <w:highlight w:val="none"/>
              </w:rPr>
              <w:t>备案□</w:t>
            </w:r>
          </w:p>
        </w:tc>
        <w:tc>
          <w:tcPr>
            <w:tcW w:w="176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所属行业</w:t>
            </w:r>
          </w:p>
        </w:tc>
        <w:tc>
          <w:tcPr>
            <w:tcW w:w="250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项目代码</w:t>
            </w:r>
          </w:p>
        </w:tc>
        <w:tc>
          <w:tcPr>
            <w:tcW w:w="11205" w:type="dxa"/>
            <w:gridSpan w:val="1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4731"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项目总投资（万元）</w:t>
            </w:r>
          </w:p>
        </w:tc>
        <w:tc>
          <w:tcPr>
            <w:tcW w:w="8173" w:type="dxa"/>
            <w:gridSpan w:val="9"/>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项目建设期</w:t>
            </w:r>
          </w:p>
        </w:tc>
        <w:tc>
          <w:tcPr>
            <w:tcW w:w="11205" w:type="dxa"/>
            <w:gridSpan w:val="1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12"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建设规模及主要内容</w:t>
            </w:r>
          </w:p>
        </w:tc>
        <w:tc>
          <w:tcPr>
            <w:tcW w:w="11205" w:type="dxa"/>
            <w:gridSpan w:val="12"/>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12"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1205" w:type="dxa"/>
            <w:gridSpan w:val="1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项</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目</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年</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综</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合</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能</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耗</w:t>
            </w: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主要能源种类</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计量单位</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年新增实物量</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折标煤系数</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折标煤量（tce</w:t>
            </w:r>
            <w:r>
              <w:rPr>
                <w:rStyle w:val="98"/>
                <w:rFonts w:hint="eastAsia" w:ascii="宋体" w:hAnsi="宋体" w:eastAsia="宋体" w:cs="宋体"/>
                <w:color w:val="auto"/>
                <w:sz w:val="20"/>
                <w:szCs w:val="20"/>
                <w:highlight w:val="none"/>
              </w:rPr>
              <w:t>）（保留</w:t>
            </w:r>
            <w:r>
              <w:rPr>
                <w:rFonts w:hint="eastAsia" w:ascii="宋体" w:hAnsi="宋体" w:eastAsia="宋体" w:cs="宋体"/>
                <w:color w:val="auto"/>
                <w:kern w:val="0"/>
                <w:sz w:val="20"/>
                <w:szCs w:val="20"/>
                <w:highlight w:val="none"/>
              </w:rPr>
              <w:t>2</w:t>
            </w:r>
            <w:r>
              <w:rPr>
                <w:rStyle w:val="98"/>
                <w:rFonts w:hint="eastAsia" w:ascii="宋体" w:hAnsi="宋体" w:eastAsia="宋体" w:cs="宋体"/>
                <w:color w:val="auto"/>
                <w:sz w:val="20"/>
                <w:szCs w:val="20"/>
                <w:highlight w:val="none"/>
              </w:rPr>
              <w:t>位小数）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电力</w:t>
            </w:r>
          </w:p>
        </w:tc>
        <w:tc>
          <w:tcPr>
            <w:tcW w:w="2975"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kW•h</w:t>
            </w:r>
          </w:p>
        </w:tc>
        <w:tc>
          <w:tcPr>
            <w:tcW w:w="1750" w:type="dxa"/>
            <w:gridSpan w:val="4"/>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0.1229kgce/kW•h</w:t>
            </w:r>
            <w:r>
              <w:rPr>
                <w:rStyle w:val="98"/>
                <w:rFonts w:hint="eastAsia" w:ascii="宋体" w:hAnsi="宋体" w:eastAsia="宋体" w:cs="宋体"/>
                <w:color w:val="auto"/>
                <w:sz w:val="20"/>
                <w:szCs w:val="20"/>
                <w:highlight w:val="none"/>
              </w:rPr>
              <w:t>（当量值）</w:t>
            </w:r>
          </w:p>
        </w:tc>
        <w:tc>
          <w:tcPr>
            <w:tcW w:w="3831" w:type="dxa"/>
            <w:gridSpan w:val="2"/>
            <w:vAlign w:val="center"/>
          </w:tcPr>
          <w:p>
            <w:pPr>
              <w:pStyle w:val="99"/>
              <w:ind w:firstLine="0" w:firstLineChars="0"/>
              <w:jc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975"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750" w:type="dxa"/>
            <w:gridSpan w:val="4"/>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0.3015kgce/kW•h</w:t>
            </w:r>
            <w:r>
              <w:rPr>
                <w:rStyle w:val="98"/>
                <w:rFonts w:hint="eastAsia" w:ascii="宋体" w:hAnsi="宋体" w:eastAsia="宋体" w:cs="宋体"/>
                <w:color w:val="auto"/>
                <w:sz w:val="20"/>
                <w:szCs w:val="20"/>
                <w:highlight w:val="none"/>
              </w:rPr>
              <w:t>（等价值）</w:t>
            </w:r>
          </w:p>
        </w:tc>
        <w:tc>
          <w:tcPr>
            <w:tcW w:w="3831" w:type="dxa"/>
            <w:gridSpan w:val="2"/>
            <w:vAlign w:val="center"/>
          </w:tcPr>
          <w:p>
            <w:pPr>
              <w:pStyle w:val="99"/>
              <w:ind w:firstLine="0" w:firstLineChars="0"/>
              <w:jc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天然气</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1.2143kgce/㎥</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耗能工质种类</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计量单位</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年新增实物量</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折标煤系数</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折标煤量（tce</w:t>
            </w:r>
            <w:r>
              <w:rPr>
                <w:rStyle w:val="98"/>
                <w:rFonts w:hint="eastAsia" w:ascii="宋体" w:hAnsi="宋体" w:eastAsia="宋体" w:cs="宋体"/>
                <w:color w:val="auto"/>
                <w:sz w:val="20"/>
                <w:szCs w:val="20"/>
                <w:highlight w:val="none"/>
              </w:rPr>
              <w:t>）（保留</w:t>
            </w:r>
            <w:r>
              <w:rPr>
                <w:rFonts w:hint="eastAsia" w:ascii="宋体" w:hAnsi="宋体" w:eastAsia="宋体" w:cs="宋体"/>
                <w:color w:val="auto"/>
                <w:kern w:val="0"/>
                <w:sz w:val="20"/>
                <w:szCs w:val="20"/>
                <w:highlight w:val="none"/>
              </w:rPr>
              <w:t>2</w:t>
            </w:r>
            <w:r>
              <w:rPr>
                <w:rStyle w:val="98"/>
                <w:rFonts w:hint="eastAsia" w:ascii="宋体" w:hAnsi="宋体" w:eastAsia="宋体" w:cs="宋体"/>
                <w:color w:val="auto"/>
                <w:sz w:val="20"/>
                <w:szCs w:val="20"/>
                <w:highlight w:val="none"/>
              </w:rPr>
              <w:t>位小数）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水</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0.2571kgce/t</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sz w:val="20"/>
                <w:szCs w:val="20"/>
                <w:highlight w:val="none"/>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6424" w:type="dxa"/>
            <w:gridSpan w:val="7"/>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项目年综合能源消费量（tce）</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当量值</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sz w:val="20"/>
                <w:szCs w:val="20"/>
                <w:highlight w:val="none"/>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6424" w:type="dxa"/>
            <w:gridSpan w:val="7"/>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等价值</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sz w:val="20"/>
                <w:szCs w:val="20"/>
                <w:highlight w:val="none"/>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项目年新增二氧化碳排放量</w:t>
            </w: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排放来源</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燃料种类</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计量单位</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年需要实物量</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CO</w:t>
            </w:r>
            <w:r>
              <w:rPr>
                <w:rStyle w:val="100"/>
                <w:rFonts w:hint="eastAsia" w:ascii="宋体" w:hAnsi="宋体" w:eastAsia="宋体" w:cs="宋体"/>
                <w:color w:val="auto"/>
                <w:sz w:val="20"/>
                <w:szCs w:val="20"/>
                <w:highlight w:val="none"/>
              </w:rPr>
              <w:t>2</w:t>
            </w:r>
            <w:r>
              <w:rPr>
                <w:rStyle w:val="101"/>
                <w:rFonts w:hint="eastAsia" w:ascii="宋体" w:hAnsi="宋体" w:eastAsia="宋体" w:cs="宋体"/>
                <w:color w:val="auto"/>
                <w:sz w:val="20"/>
                <w:szCs w:val="20"/>
                <w:highlight w:val="none"/>
              </w:rPr>
              <w:t>排放量（</w:t>
            </w:r>
            <w:r>
              <w:rPr>
                <w:rFonts w:hint="eastAsia" w:ascii="宋体" w:hAnsi="宋体" w:eastAsia="宋体" w:cs="宋体"/>
                <w:color w:val="auto"/>
                <w:kern w:val="0"/>
                <w:sz w:val="20"/>
                <w:szCs w:val="20"/>
                <w:highlight w:val="none"/>
              </w:rPr>
              <w:t>t）（保留2位小数）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化石燃料燃烧</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天然气</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467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外购电力</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kW•h</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9073"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项目年新增二氧化碳排放总量（tCO</w:t>
            </w:r>
            <w:r>
              <w:rPr>
                <w:rStyle w:val="100"/>
                <w:rFonts w:hint="eastAsia" w:ascii="宋体" w:hAnsi="宋体" w:eastAsia="宋体" w:cs="宋体"/>
                <w:color w:val="auto"/>
                <w:sz w:val="20"/>
                <w:szCs w:val="20"/>
                <w:highlight w:val="none"/>
              </w:rPr>
              <w:t>2</w:t>
            </w:r>
            <w:r>
              <w:rPr>
                <w:rStyle w:val="101"/>
                <w:rFonts w:hint="eastAsia" w:ascii="宋体" w:hAnsi="宋体" w:eastAsia="宋体" w:cs="宋体"/>
                <w:color w:val="auto"/>
                <w:sz w:val="20"/>
                <w:szCs w:val="20"/>
                <w:highlight w:val="none"/>
              </w:rPr>
              <w:t>）</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项目能效指标比较</w:t>
            </w: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指标名称</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单位</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项目核算值</w:t>
            </w: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先进值</w:t>
            </w: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对比结果</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单位</w:t>
            </w:r>
            <w:r>
              <w:rPr>
                <w:rFonts w:hint="eastAsia" w:ascii="宋体" w:hAnsi="宋体" w:eastAsia="宋体" w:cs="宋体"/>
                <w:color w:val="auto"/>
                <w:kern w:val="0"/>
                <w:sz w:val="20"/>
                <w:szCs w:val="20"/>
                <w:highlight w:val="none"/>
                <w:lang w:val="en-US" w:eastAsia="zh-CN"/>
              </w:rPr>
              <w:t>产品</w:t>
            </w:r>
            <w:r>
              <w:rPr>
                <w:rFonts w:hint="eastAsia" w:ascii="宋体" w:hAnsi="宋体" w:eastAsia="宋体" w:cs="宋体"/>
                <w:color w:val="auto"/>
                <w:kern w:val="0"/>
                <w:sz w:val="20"/>
                <w:szCs w:val="20"/>
                <w:highlight w:val="none"/>
              </w:rPr>
              <w:t>能耗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tce/t</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项目建设方案简介</w:t>
            </w: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项目生产产品及生产规模</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项目生产工艺</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项目生产线设备</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项目拟建总图数据</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项目建筑方案</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项目配套工程及室外工程方案及设备</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能源计量预定方案</w:t>
            </w: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能源计量措施</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能源计量器具</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项目节能措施</w:t>
            </w: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节能措施1（名称）</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具体措施</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节能效果</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节能措施2（名称）</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具体措施</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节能效果</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项目能耗情况预估</w:t>
            </w: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项目能耗量估算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产线设备能耗预估</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办公及辅助能耗预估</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节能措施降低能耗统计</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cs="宋体"/>
                <w:color w:val="auto"/>
                <w:sz w:val="20"/>
                <w:szCs w:val="20"/>
                <w:highlight w:val="none"/>
                <w:lang w:val="en-US" w:eastAsia="zh-CN"/>
              </w:rPr>
              <w:t>能耗合计</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rPr>
              <w:t>项目年新增二氧化碳排放量</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项目能效指标预估</w:t>
            </w: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指标名称</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单位</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项目核算值</w:t>
            </w: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先进值</w:t>
            </w: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对比结果</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备注</w:t>
            </w:r>
            <w:r>
              <w:rPr>
                <w:rFonts w:hint="eastAsia" w:ascii="宋体" w:hAnsi="宋体" w:cs="宋体"/>
                <w:color w:val="auto"/>
                <w:sz w:val="20"/>
                <w:szCs w:val="20"/>
                <w:highlight w:val="none"/>
                <w:lang w:eastAsia="zh-CN"/>
              </w:rPr>
              <w:t>（</w:t>
            </w:r>
            <w:r>
              <w:rPr>
                <w:rFonts w:hint="eastAsia" w:ascii="宋体" w:hAnsi="宋体" w:cs="宋体"/>
                <w:color w:val="auto"/>
                <w:sz w:val="20"/>
                <w:szCs w:val="20"/>
                <w:highlight w:val="none"/>
                <w:lang w:val="en-US" w:eastAsia="zh-CN"/>
              </w:rPr>
              <w:t>参考标准或其他说明</w:t>
            </w:r>
            <w:r>
              <w:rPr>
                <w:rFonts w:hint="eastAsia" w:ascii="宋体" w:hAnsi="宋体" w:cs="宋体"/>
                <w:color w:val="auto"/>
                <w:sz w:val="20"/>
                <w:szCs w:val="20"/>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单位</w:t>
            </w:r>
            <w:r>
              <w:rPr>
                <w:rFonts w:hint="eastAsia" w:ascii="宋体" w:hAnsi="宋体" w:eastAsia="宋体" w:cs="宋体"/>
                <w:color w:val="auto"/>
                <w:kern w:val="0"/>
                <w:sz w:val="20"/>
                <w:szCs w:val="20"/>
                <w:highlight w:val="none"/>
                <w:lang w:val="en-US" w:eastAsia="zh-CN"/>
              </w:rPr>
              <w:t>产品</w:t>
            </w:r>
            <w:r>
              <w:rPr>
                <w:rFonts w:hint="eastAsia" w:ascii="宋体" w:hAnsi="宋体" w:eastAsia="宋体" w:cs="宋体"/>
                <w:color w:val="auto"/>
                <w:kern w:val="0"/>
                <w:sz w:val="20"/>
                <w:szCs w:val="20"/>
                <w:highlight w:val="none"/>
              </w:rPr>
              <w:t>能耗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tce/t</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单位产品电耗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万</w:t>
            </w:r>
            <w:r>
              <w:rPr>
                <w:rFonts w:hint="eastAsia" w:ascii="宋体" w:hAnsi="宋体" w:eastAsia="宋体" w:cs="宋体"/>
                <w:color w:val="auto"/>
                <w:sz w:val="20"/>
                <w:szCs w:val="20"/>
                <w:highlight w:val="none"/>
                <w:lang w:val="en-US" w:eastAsia="zh-CN"/>
              </w:rPr>
              <w:t>kW•h/t</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单位面积</w:t>
            </w:r>
            <w:r>
              <w:rPr>
                <w:rFonts w:hint="eastAsia" w:ascii="宋体" w:hAnsi="宋体" w:eastAsia="宋体" w:cs="宋体"/>
                <w:color w:val="auto"/>
                <w:kern w:val="0"/>
                <w:sz w:val="20"/>
                <w:szCs w:val="20"/>
                <w:highlight w:val="none"/>
              </w:rPr>
              <w:t>能耗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tce/㎡</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单位面积电耗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万</w:t>
            </w:r>
            <w:r>
              <w:rPr>
                <w:rFonts w:hint="eastAsia" w:ascii="宋体" w:hAnsi="宋体" w:eastAsia="宋体" w:cs="宋体"/>
                <w:color w:val="auto"/>
                <w:sz w:val="20"/>
                <w:szCs w:val="20"/>
                <w:highlight w:val="none"/>
                <w:lang w:val="en-US" w:eastAsia="zh-CN"/>
              </w:rPr>
              <w:t>kW•h/㎡</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3994" w:type="dxa"/>
            <w:gridSpan w:val="14"/>
            <w:vAlign w:val="center"/>
          </w:tcPr>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本单位郑重承诺：</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zh-CN"/>
              </w:rPr>
              <w:t>、本单位所提供的材料及数据真实有效。</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zh-CN"/>
              </w:rPr>
              <w:t>、本项目不属于区域能评确定的负面清单范围。</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rPr>
              <w:t>3</w:t>
            </w:r>
            <w:r>
              <w:rPr>
                <w:rFonts w:hint="eastAsia" w:ascii="宋体" w:hAnsi="宋体" w:eastAsia="宋体" w:cs="宋体"/>
                <w:color w:val="auto"/>
                <w:sz w:val="20"/>
                <w:szCs w:val="20"/>
                <w:highlight w:val="none"/>
                <w:lang w:val="zh-CN"/>
              </w:rPr>
              <w:t>、本项目不属于国家产业结构调整指导目录中的限制类、淘汰类，且符合地方产业政策，符合区域产业发展规划要求。</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rPr>
              <w:t>4</w:t>
            </w:r>
            <w:r>
              <w:rPr>
                <w:rFonts w:hint="eastAsia" w:ascii="宋体" w:hAnsi="宋体" w:eastAsia="宋体" w:cs="宋体"/>
                <w:color w:val="auto"/>
                <w:sz w:val="20"/>
                <w:szCs w:val="20"/>
                <w:highlight w:val="none"/>
                <w:lang w:val="zh-CN"/>
              </w:rPr>
              <w:t>、本项目单位产品能耗、电耗、水耗达到国家、省行业能耗准入标准（没有准入标准的，执行限额标准或地方能效指南）。</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 xml:space="preserve">5、本项目达产后年总用能量控制在 </w:t>
            </w:r>
            <w:r>
              <w:rPr>
                <w:rFonts w:hint="eastAsia" w:ascii="宋体" w:hAnsi="宋体" w:eastAsia="宋体" w:cs="宋体"/>
                <w:color w:val="auto"/>
                <w:sz w:val="20"/>
                <w:szCs w:val="20"/>
                <w:highlight w:val="none"/>
                <w:u w:val="single"/>
                <w:lang w:val="zh-CN"/>
              </w:rPr>
              <w:t xml:space="preserve">           </w:t>
            </w:r>
            <w:r>
              <w:rPr>
                <w:rFonts w:hint="eastAsia" w:ascii="宋体" w:hAnsi="宋体" w:eastAsia="宋体" w:cs="宋体"/>
                <w:color w:val="auto"/>
                <w:sz w:val="20"/>
                <w:szCs w:val="20"/>
                <w:highlight w:val="none"/>
                <w:lang w:val="zh-CN"/>
              </w:rPr>
              <w:t xml:space="preserve"> 吨标准煤（</w:t>
            </w:r>
            <w:r>
              <w:rPr>
                <w:rFonts w:hint="eastAsia" w:ascii="宋体" w:hAnsi="宋体" w:eastAsia="宋体" w:cs="宋体"/>
                <w:color w:val="auto"/>
                <w:sz w:val="20"/>
                <w:szCs w:val="20"/>
                <w:highlight w:val="none"/>
              </w:rPr>
              <w:t>当量值</w:t>
            </w:r>
            <w:r>
              <w:rPr>
                <w:rFonts w:hint="eastAsia" w:ascii="宋体" w:hAnsi="宋体" w:eastAsia="宋体" w:cs="宋体"/>
                <w:color w:val="auto"/>
                <w:sz w:val="20"/>
                <w:szCs w:val="20"/>
                <w:highlight w:val="none"/>
                <w:lang w:val="zh-CN"/>
              </w:rPr>
              <w:t>）以内。</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6、本项目主要用能设备选择符合国家相关节能技术标准，无国家明令禁止使用的淘汰落后设备。</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7、按规定配备相应的能源计量器具，落实能源计量管理。</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8、本项目实施过程中，将严格遵守国家相关节能法律法规政策。</w:t>
            </w:r>
          </w:p>
          <w:p>
            <w:pPr>
              <w:pStyle w:val="69"/>
              <w:rPr>
                <w:rFonts w:hint="eastAsia" w:ascii="宋体" w:hAnsi="宋体" w:eastAsia="宋体" w:cs="宋体"/>
                <w:color w:val="auto"/>
                <w:sz w:val="20"/>
                <w:szCs w:val="20"/>
                <w:highlight w:val="none"/>
                <w:lang w:val="zh-CN"/>
              </w:rPr>
            </w:pPr>
          </w:p>
          <w:p>
            <w:pPr>
              <w:pStyle w:val="69"/>
              <w:rPr>
                <w:rFonts w:hint="eastAsia" w:ascii="宋体" w:hAnsi="宋体" w:eastAsia="宋体" w:cs="宋体"/>
                <w:color w:val="auto"/>
                <w:sz w:val="20"/>
                <w:szCs w:val="20"/>
                <w:highlight w:val="none"/>
                <w:lang w:val="zh-CN"/>
              </w:rPr>
            </w:pPr>
          </w:p>
          <w:p>
            <w:pPr>
              <w:pStyle w:val="69"/>
              <w:wordWrap w:val="0"/>
              <w:spacing w:line="360" w:lineRule="auto"/>
              <w:jc w:val="right"/>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 xml:space="preserve">法定代表人（签字）：                </w:t>
            </w:r>
          </w:p>
          <w:p>
            <w:pPr>
              <w:pStyle w:val="69"/>
              <w:wordWrap w:val="0"/>
              <w:spacing w:line="360" w:lineRule="auto"/>
              <w:jc w:val="right"/>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 xml:space="preserve">企业（盖章）：                </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 xml:space="preserve">                                                                                                                       </w:t>
            </w:r>
            <w:r>
              <w:rPr>
                <w:rFonts w:hint="eastAsia" w:ascii="宋体" w:hAnsi="宋体" w:eastAsia="宋体" w:cs="宋体"/>
                <w:color w:val="auto"/>
                <w:sz w:val="20"/>
                <w:szCs w:val="20"/>
                <w:highlight w:val="none"/>
                <w:lang w:val="zh-CN"/>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3994" w:type="dxa"/>
            <w:gridSpan w:val="14"/>
            <w:vAlign w:val="center"/>
          </w:tcPr>
          <w:p>
            <w:pPr>
              <w:pStyle w:val="69"/>
              <w:jc w:val="left"/>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rPr>
              <w:t>区域管理机构</w:t>
            </w:r>
            <w:r>
              <w:rPr>
                <w:rFonts w:hint="eastAsia" w:ascii="宋体" w:hAnsi="宋体" w:eastAsia="宋体" w:cs="宋体"/>
                <w:color w:val="auto"/>
                <w:sz w:val="20"/>
                <w:szCs w:val="20"/>
                <w:highlight w:val="none"/>
                <w:lang w:val="zh-CN"/>
              </w:rPr>
              <w:t>登记备案意见：</w:t>
            </w:r>
          </w:p>
          <w:p>
            <w:pPr>
              <w:pStyle w:val="69"/>
              <w:jc w:val="center"/>
              <w:rPr>
                <w:rFonts w:hint="eastAsia" w:ascii="宋体" w:hAnsi="宋体" w:eastAsia="宋体" w:cs="宋体"/>
                <w:color w:val="auto"/>
                <w:sz w:val="20"/>
                <w:szCs w:val="20"/>
                <w:highlight w:val="none"/>
                <w:lang w:val="zh-CN"/>
              </w:rPr>
            </w:pPr>
          </w:p>
          <w:p>
            <w:pPr>
              <w:pStyle w:val="69"/>
              <w:jc w:val="center"/>
              <w:rPr>
                <w:rFonts w:hint="eastAsia" w:ascii="宋体" w:hAnsi="宋体" w:eastAsia="宋体" w:cs="宋体"/>
                <w:color w:val="auto"/>
                <w:sz w:val="20"/>
                <w:szCs w:val="20"/>
                <w:highlight w:val="none"/>
                <w:lang w:val="zh-CN"/>
              </w:rPr>
            </w:pPr>
          </w:p>
          <w:p>
            <w:pPr>
              <w:pStyle w:val="69"/>
              <w:jc w:val="center"/>
              <w:rPr>
                <w:rFonts w:hint="eastAsia" w:ascii="宋体" w:hAnsi="宋体" w:eastAsia="宋体" w:cs="宋体"/>
                <w:color w:val="auto"/>
                <w:sz w:val="20"/>
                <w:szCs w:val="20"/>
                <w:highlight w:val="none"/>
                <w:lang w:val="zh-CN"/>
              </w:rPr>
            </w:pPr>
          </w:p>
          <w:p>
            <w:pPr>
              <w:pStyle w:val="69"/>
              <w:wordWrap w:val="0"/>
              <w:spacing w:line="360" w:lineRule="auto"/>
              <w:jc w:val="right"/>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 xml:space="preserve">（盖章）：                </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 xml:space="preserve">                                                                                                                        </w:t>
            </w:r>
            <w:r>
              <w:rPr>
                <w:rFonts w:hint="eastAsia" w:ascii="宋体" w:hAnsi="宋体" w:eastAsia="宋体" w:cs="宋体"/>
                <w:color w:val="auto"/>
                <w:sz w:val="20"/>
                <w:szCs w:val="20"/>
                <w:highlight w:val="none"/>
                <w:lang w:val="zh-CN"/>
              </w:rPr>
              <w:t>年   月   日</w:t>
            </w:r>
          </w:p>
        </w:tc>
      </w:tr>
    </w:tbl>
    <w:p>
      <w:pPr>
        <w:pStyle w:val="61"/>
        <w:rPr>
          <w:rFonts w:hint="eastAsia" w:ascii="Times New Roman" w:hAnsi="Times New Roman" w:cs="Times New Roman"/>
          <w:color w:val="auto"/>
          <w:highlight w:val="none"/>
        </w:rPr>
        <w:sectPr>
          <w:pgSz w:w="16838" w:h="11906" w:orient="landscape"/>
          <w:pgMar w:top="1803" w:right="1440" w:bottom="1803" w:left="1440" w:header="851" w:footer="992" w:gutter="0"/>
          <w:cols w:space="0" w:num="1"/>
          <w:rtlGutter w:val="0"/>
          <w:docGrid w:type="lines" w:linePitch="395" w:charSpace="0"/>
        </w:sectPr>
      </w:pPr>
      <w:r>
        <w:rPr>
          <w:rFonts w:hint="eastAsia" w:ascii="Times New Roman" w:hAnsi="Times New Roman" w:cs="Times New Roman"/>
          <w:color w:val="auto"/>
          <w:highlight w:val="none"/>
        </w:rPr>
        <w:t>注：</w:t>
      </w:r>
      <w:r>
        <w:rPr>
          <w:rFonts w:hint="eastAsia" w:ascii="Times New Roman" w:hAnsi="Times New Roman" w:cs="Times New Roman"/>
          <w:color w:val="auto"/>
          <w:highlight w:val="none"/>
          <w:lang w:val="en-US" w:eastAsia="zh-CN"/>
        </w:rPr>
        <w:t>为方便实行节能审查及节能验收，制定并要求申报单位填写此表，</w:t>
      </w:r>
      <w:r>
        <w:rPr>
          <w:rFonts w:hint="eastAsia" w:ascii="Times New Roman" w:hAnsi="Times New Roman" w:cs="Times New Roman"/>
          <w:color w:val="auto"/>
          <w:highlight w:val="none"/>
        </w:rPr>
        <w:t>各种能源及耗能工质折标准煤参考系数参照《综合能耗计算通则》（GB/T2589）</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《咸宁国家高新技术产业开发区区域节能报告》</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评估专家组意见</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lang w:eastAsia="zh-CN"/>
        </w:rPr>
      </w:pPr>
      <w:r>
        <w:rPr>
          <w:rFonts w:hint="eastAsia" w:ascii="宋体" w:hAnsi="宋体" w:cs="宋体"/>
          <w:color w:val="auto"/>
          <w:sz w:val="28"/>
          <w:szCs w:val="28"/>
          <w:lang w:val="en-US" w:eastAsia="zh-CN"/>
        </w:rPr>
        <w:t>咸宁高新技术产业开发区管理委员会</w:t>
      </w:r>
      <w:r>
        <w:rPr>
          <w:rFonts w:hint="eastAsia" w:ascii="宋体" w:hAnsi="宋体" w:eastAsia="宋体" w:cs="宋体"/>
          <w:color w:val="auto"/>
          <w:sz w:val="28"/>
          <w:szCs w:val="28"/>
        </w:rPr>
        <w:t>于202</w:t>
      </w:r>
      <w:r>
        <w:rPr>
          <w:rFonts w:hint="eastAsia" w:ascii="宋体" w:hAnsi="宋体" w:cs="宋体"/>
          <w:color w:val="auto"/>
          <w:sz w:val="28"/>
          <w:szCs w:val="28"/>
          <w:lang w:val="en-US" w:eastAsia="zh-CN"/>
        </w:rPr>
        <w:t>4</w:t>
      </w:r>
      <w:r>
        <w:rPr>
          <w:rFonts w:hint="eastAsia" w:ascii="宋体" w:hAnsi="宋体" w:eastAsia="宋体" w:cs="宋体"/>
          <w:color w:val="auto"/>
          <w:sz w:val="28"/>
          <w:szCs w:val="28"/>
        </w:rPr>
        <w:t>年</w:t>
      </w:r>
      <w:r>
        <w:rPr>
          <w:rFonts w:hint="eastAsia" w:ascii="宋体" w:hAnsi="宋体" w:cs="宋体"/>
          <w:color w:val="auto"/>
          <w:sz w:val="28"/>
          <w:szCs w:val="28"/>
          <w:lang w:val="en-US" w:eastAsia="zh-CN"/>
        </w:rPr>
        <w:t>2</w:t>
      </w:r>
      <w:r>
        <w:rPr>
          <w:rFonts w:hint="eastAsia" w:ascii="宋体" w:hAnsi="宋体" w:eastAsia="宋体" w:cs="宋体"/>
          <w:color w:val="auto"/>
          <w:sz w:val="28"/>
          <w:szCs w:val="28"/>
        </w:rPr>
        <w:t>月</w:t>
      </w:r>
      <w:r>
        <w:rPr>
          <w:rFonts w:hint="eastAsia" w:ascii="宋体" w:hAnsi="宋体" w:cs="宋体"/>
          <w:color w:val="auto"/>
          <w:sz w:val="28"/>
          <w:szCs w:val="28"/>
          <w:lang w:val="en-US" w:eastAsia="zh-CN"/>
        </w:rPr>
        <w:t>5</w:t>
      </w:r>
      <w:r>
        <w:rPr>
          <w:rFonts w:hint="eastAsia" w:ascii="宋体" w:hAnsi="宋体" w:eastAsia="宋体" w:cs="宋体"/>
          <w:color w:val="auto"/>
          <w:sz w:val="28"/>
          <w:szCs w:val="28"/>
        </w:rPr>
        <w:t>日</w:t>
      </w:r>
      <w:r>
        <w:rPr>
          <w:rFonts w:hint="eastAsia" w:ascii="宋体" w:hAnsi="宋体" w:cs="宋体"/>
          <w:color w:val="auto"/>
          <w:sz w:val="28"/>
          <w:szCs w:val="28"/>
          <w:lang w:val="en-US" w:eastAsia="zh-CN"/>
        </w:rPr>
        <w:t>组织进行</w:t>
      </w:r>
      <w:r>
        <w:rPr>
          <w:rFonts w:hint="eastAsia" w:ascii="宋体" w:hAnsi="宋体" w:eastAsia="宋体" w:cs="宋体"/>
          <w:color w:val="auto"/>
          <w:sz w:val="28"/>
          <w:szCs w:val="28"/>
        </w:rPr>
        <w:t>了《咸宁国家高新技术产业开发区区域节能报告》评估</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函评</w:t>
      </w:r>
      <w:r>
        <w:rPr>
          <w:rFonts w:hint="eastAsia" w:ascii="宋体" w:hAnsi="宋体" w:cs="宋体"/>
          <w:color w:val="auto"/>
          <w:sz w:val="28"/>
          <w:szCs w:val="28"/>
          <w:lang w:eastAsia="zh-CN"/>
        </w:rPr>
        <w:t>），</w:t>
      </w:r>
      <w:r>
        <w:rPr>
          <w:rFonts w:hint="eastAsia" w:ascii="宋体" w:hAnsi="宋体" w:eastAsia="宋体" w:cs="宋体"/>
          <w:color w:val="auto"/>
          <w:sz w:val="28"/>
          <w:szCs w:val="28"/>
        </w:rPr>
        <w:t>评估</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函评</w:t>
      </w:r>
      <w:r>
        <w:rPr>
          <w:rFonts w:hint="eastAsia" w:ascii="宋体" w:hAnsi="宋体" w:cs="宋体"/>
          <w:color w:val="auto"/>
          <w:sz w:val="28"/>
          <w:szCs w:val="28"/>
          <w:lang w:eastAsia="zh-CN"/>
        </w:rPr>
        <w:t>）</w:t>
      </w:r>
      <w:r>
        <w:rPr>
          <w:rFonts w:hint="eastAsia" w:ascii="宋体" w:hAnsi="宋体" w:eastAsia="宋体" w:cs="宋体"/>
          <w:color w:val="auto"/>
          <w:sz w:val="28"/>
          <w:szCs w:val="28"/>
        </w:rPr>
        <w:t>邀请</w:t>
      </w:r>
      <w:r>
        <w:rPr>
          <w:rFonts w:hint="eastAsia" w:ascii="宋体" w:hAnsi="宋体" w:cs="宋体"/>
          <w:color w:val="auto"/>
          <w:sz w:val="28"/>
          <w:szCs w:val="28"/>
          <w:lang w:val="en-US" w:eastAsia="zh-CN"/>
        </w:rPr>
        <w:t>五</w:t>
      </w:r>
      <w:r>
        <w:rPr>
          <w:rFonts w:hint="eastAsia" w:ascii="宋体" w:hAnsi="宋体" w:eastAsia="宋体" w:cs="宋体"/>
          <w:color w:val="auto"/>
          <w:sz w:val="28"/>
          <w:szCs w:val="28"/>
        </w:rPr>
        <w:t>名专家</w:t>
      </w:r>
      <w:r>
        <w:rPr>
          <w:rFonts w:hint="eastAsia" w:ascii="宋体" w:hAnsi="宋体" w:cs="宋体"/>
          <w:color w:val="auto"/>
          <w:sz w:val="28"/>
          <w:szCs w:val="28"/>
          <w:lang w:eastAsia="zh-CN"/>
        </w:rPr>
        <w:t>（</w:t>
      </w:r>
      <w:r>
        <w:rPr>
          <w:rFonts w:hint="eastAsia" w:ascii="宋体" w:hAnsi="宋体" w:eastAsia="宋体" w:cs="宋体"/>
          <w:color w:val="auto"/>
          <w:sz w:val="28"/>
          <w:szCs w:val="28"/>
        </w:rPr>
        <w:t>名单附后</w:t>
      </w:r>
      <w:r>
        <w:rPr>
          <w:rFonts w:hint="eastAsia" w:ascii="宋体" w:hAnsi="宋体" w:cs="宋体"/>
          <w:color w:val="auto"/>
          <w:sz w:val="28"/>
          <w:szCs w:val="28"/>
          <w:lang w:eastAsia="zh-CN"/>
        </w:rPr>
        <w:t>）</w:t>
      </w:r>
      <w:r>
        <w:rPr>
          <w:rFonts w:hint="eastAsia" w:ascii="宋体" w:hAnsi="宋体" w:eastAsia="宋体" w:cs="宋体"/>
          <w:color w:val="auto"/>
          <w:sz w:val="28"/>
          <w:szCs w:val="28"/>
        </w:rPr>
        <w:t>审阅了《区域节能报告》</w:t>
      </w:r>
      <w:r>
        <w:rPr>
          <w:rFonts w:hint="eastAsia" w:ascii="宋体" w:hAnsi="宋体" w:eastAsia="宋体" w:cs="宋体"/>
          <w:color w:val="auto"/>
          <w:sz w:val="28"/>
          <w:szCs w:val="28"/>
          <w:lang w:eastAsia="zh-CN"/>
        </w:rPr>
        <w:t>，</w:t>
      </w:r>
      <w:r>
        <w:rPr>
          <w:rFonts w:hint="eastAsia" w:ascii="宋体" w:hAnsi="宋体" w:cs="宋体"/>
          <w:color w:val="auto"/>
          <w:sz w:val="28"/>
          <w:szCs w:val="28"/>
          <w:lang w:eastAsia="zh-CN"/>
        </w:rPr>
        <w:t>各专业专家对</w:t>
      </w:r>
      <w:r>
        <w:rPr>
          <w:rFonts w:hint="eastAsia" w:ascii="宋体" w:hAnsi="宋体" w:eastAsia="宋体" w:cs="宋体"/>
          <w:color w:val="auto"/>
          <w:sz w:val="28"/>
          <w:szCs w:val="28"/>
        </w:rPr>
        <w:t>《区域节能报告》</w:t>
      </w:r>
      <w:r>
        <w:rPr>
          <w:rFonts w:hint="eastAsia" w:ascii="宋体" w:hAnsi="宋体" w:cs="宋体"/>
          <w:color w:val="auto"/>
          <w:sz w:val="28"/>
          <w:szCs w:val="28"/>
          <w:lang w:eastAsia="zh-CN"/>
        </w:rPr>
        <w:t>提出了修改意见及建议，经编制单位修改完善，各专家复审后提出以下评审意见：</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cs="宋体"/>
          <w:color w:val="auto"/>
          <w:sz w:val="28"/>
          <w:szCs w:val="28"/>
          <w:lang w:eastAsia="zh-CN"/>
        </w:rPr>
        <w:t>该报告内容全面详实，数据完整清晰，区域划分合理，区域产业定位及发展规划合理，区域能源供应有保障，能源“双控”目标明确，能源发展规划合理，区域能效指标设置基本合理，行业能效指标符合相关能耗标准或相关产业政策、准入条件的要求，区域节能技术措施和管理措施合理可行。</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rPr>
        <w:t>专家组</w:t>
      </w:r>
      <w:r>
        <w:rPr>
          <w:rFonts w:hint="eastAsia" w:ascii="宋体" w:hAnsi="宋体" w:cs="宋体"/>
          <w:color w:val="auto"/>
          <w:sz w:val="28"/>
          <w:szCs w:val="28"/>
          <w:lang w:val="en-US" w:eastAsia="zh-CN"/>
        </w:rPr>
        <w:t>成员</w:t>
      </w:r>
      <w:r>
        <w:rPr>
          <w:rFonts w:hint="eastAsia" w:ascii="宋体" w:hAnsi="宋体" w:cs="宋体"/>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anchor distT="0" distB="0" distL="114300" distR="114300" simplePos="0" relativeHeight="251661312" behindDoc="1" locked="0" layoutInCell="1" allowOverlap="1">
            <wp:simplePos x="0" y="0"/>
            <wp:positionH relativeFrom="column">
              <wp:posOffset>465455</wp:posOffset>
            </wp:positionH>
            <wp:positionV relativeFrom="paragraph">
              <wp:posOffset>155575</wp:posOffset>
            </wp:positionV>
            <wp:extent cx="4507865" cy="1606550"/>
            <wp:effectExtent l="0" t="0" r="6985" b="12700"/>
            <wp:wrapNone/>
            <wp:docPr id="15" name="图片 2" descr="专家组及专家个人意见2 - 副本 - 副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专家组及专家个人意见2 - 副本 - 副本-1"/>
                    <pic:cNvPicPr>
                      <a:picLocks noChangeAspect="1"/>
                    </pic:cNvPicPr>
                  </pic:nvPicPr>
                  <pic:blipFill>
                    <a:blip r:embed="rId52"/>
                    <a:stretch>
                      <a:fillRect/>
                    </a:stretch>
                  </pic:blipFill>
                  <pic:spPr>
                    <a:xfrm>
                      <a:off x="0" y="0"/>
                      <a:ext cx="4507865" cy="160655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spacing w:line="500" w:lineRule="exact"/>
        <w:ind w:firstLine="5600" w:firstLineChars="2000"/>
        <w:textAlignment w:val="auto"/>
        <w:rPr>
          <w:rFonts w:hint="eastAsia" w:ascii="宋体" w:hAnsi="宋体" w:eastAsia="宋体" w:cs="宋体"/>
          <w:color w:val="auto"/>
          <w:sz w:val="28"/>
          <w:szCs w:val="28"/>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color w:val="auto"/>
          <w:sz w:val="32"/>
          <w:highlight w:val="none"/>
        </w:rPr>
      </w:pPr>
      <w:r>
        <w:rPr>
          <w:rFonts w:hint="eastAsia" w:ascii="宋体" w:hAnsi="宋体" w:eastAsia="宋体" w:cs="宋体"/>
          <w:color w:val="auto"/>
          <w:sz w:val="32"/>
          <w:highlight w:val="none"/>
        </w:rPr>
        <w:t>专家组名单：</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outlineLvl w:val="9"/>
        <w:rPr>
          <w:rFonts w:hint="default" w:ascii="宋体" w:hAnsi="宋体" w:cs="宋体"/>
          <w:color w:val="auto"/>
          <w:kern w:val="13"/>
          <w:sz w:val="24"/>
          <w:szCs w:val="24"/>
          <w:highlight w:val="none"/>
          <w:lang w:val="en-US" w:eastAsia="zh-CN"/>
        </w:rPr>
      </w:pPr>
      <w:bookmarkStart w:id="112" w:name="_Toc31926"/>
      <w:r>
        <w:rPr>
          <w:rFonts w:hint="eastAsia" w:ascii="宋体" w:hAnsi="宋体" w:cs="宋体"/>
          <w:color w:val="auto"/>
          <w:kern w:val="13"/>
          <w:sz w:val="24"/>
          <w:szCs w:val="24"/>
          <w:highlight w:val="none"/>
          <w:lang w:val="en-US" w:eastAsia="zh-CN"/>
        </w:rPr>
        <w:t xml:space="preserve">汪俊时     武汉循环经济协会                      </w:t>
      </w:r>
      <w:r>
        <w:rPr>
          <w:rFonts w:hint="eastAsia" w:ascii="宋体" w:hAnsi="宋体" w:eastAsia="宋体" w:cs="宋体"/>
          <w:color w:val="auto"/>
          <w:kern w:val="13"/>
          <w:sz w:val="24"/>
          <w:szCs w:val="24"/>
          <w:highlight w:val="none"/>
        </w:rPr>
        <w:t xml:space="preserve">教  </w:t>
      </w:r>
      <w:r>
        <w:rPr>
          <w:rFonts w:hint="eastAsia" w:ascii="宋体" w:hAnsi="宋体" w:cs="宋体"/>
          <w:color w:val="auto"/>
          <w:kern w:val="13"/>
          <w:sz w:val="24"/>
          <w:szCs w:val="24"/>
          <w:highlight w:val="none"/>
          <w:lang w:eastAsia="zh-CN"/>
        </w:rPr>
        <w:t>高</w:t>
      </w:r>
      <w:r>
        <w:rPr>
          <w:rFonts w:hint="eastAsia" w:ascii="宋体" w:hAnsi="宋体" w:eastAsia="宋体" w:cs="宋体"/>
          <w:color w:val="auto"/>
          <w:kern w:val="13"/>
          <w:sz w:val="24"/>
          <w:szCs w:val="24"/>
          <w:highlight w:val="none"/>
        </w:rPr>
        <w:t xml:space="preserve">    </w:t>
      </w:r>
      <w:r>
        <w:rPr>
          <w:rFonts w:hint="eastAsia" w:ascii="宋体" w:hAnsi="宋体" w:cs="宋体"/>
          <w:color w:val="auto"/>
          <w:kern w:val="13"/>
          <w:sz w:val="24"/>
          <w:szCs w:val="24"/>
          <w:highlight w:val="none"/>
          <w:lang w:val="en-US" w:eastAsia="zh-CN"/>
        </w:rPr>
        <w:t>循环经济</w:t>
      </w:r>
      <w:bookmarkEnd w:id="112"/>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outlineLvl w:val="9"/>
        <w:rPr>
          <w:rFonts w:hint="default" w:ascii="宋体" w:hAnsi="宋体" w:eastAsia="宋体" w:cs="宋体"/>
          <w:color w:val="auto"/>
          <w:kern w:val="13"/>
          <w:sz w:val="24"/>
          <w:szCs w:val="24"/>
          <w:highlight w:val="none"/>
          <w:lang w:val="en-US" w:eastAsia="zh-CN"/>
        </w:rPr>
      </w:pPr>
      <w:bookmarkStart w:id="113" w:name="_Toc25969"/>
      <w:r>
        <w:rPr>
          <w:rFonts w:hint="eastAsia" w:ascii="宋体" w:hAnsi="宋体" w:cs="宋体"/>
          <w:color w:val="auto"/>
          <w:kern w:val="13"/>
          <w:sz w:val="24"/>
          <w:szCs w:val="24"/>
          <w:highlight w:val="none"/>
          <w:lang w:val="en-US" w:eastAsia="zh-CN"/>
        </w:rPr>
        <w:t xml:space="preserve">梁  楚     湖北省机电研究设计院                  </w:t>
      </w:r>
      <w:r>
        <w:rPr>
          <w:rFonts w:hint="eastAsia" w:ascii="宋体" w:hAnsi="宋体" w:eastAsia="宋体" w:cs="宋体"/>
          <w:color w:val="auto"/>
          <w:kern w:val="13"/>
          <w:sz w:val="24"/>
          <w:szCs w:val="24"/>
          <w:highlight w:val="none"/>
          <w:lang w:val="en-US" w:eastAsia="zh-CN"/>
        </w:rPr>
        <w:t>正  高</w:t>
      </w:r>
      <w:r>
        <w:rPr>
          <w:rFonts w:hint="eastAsia" w:ascii="宋体" w:hAnsi="宋体" w:eastAsia="宋体" w:cs="宋体"/>
          <w:color w:val="auto"/>
          <w:kern w:val="13"/>
          <w:sz w:val="24"/>
          <w:szCs w:val="24"/>
          <w:highlight w:val="none"/>
        </w:rPr>
        <w:t xml:space="preserve">    </w:t>
      </w:r>
      <w:r>
        <w:rPr>
          <w:rFonts w:hint="eastAsia" w:ascii="宋体" w:hAnsi="宋体" w:cs="宋体"/>
          <w:color w:val="auto"/>
          <w:kern w:val="13"/>
          <w:sz w:val="24"/>
          <w:szCs w:val="24"/>
          <w:highlight w:val="none"/>
          <w:lang w:val="en-US" w:eastAsia="zh-CN"/>
        </w:rPr>
        <w:t>综合节能</w:t>
      </w:r>
      <w:bookmarkEnd w:id="113"/>
      <w:r>
        <w:rPr>
          <w:rFonts w:hint="eastAsia" w:ascii="宋体" w:hAnsi="宋体" w:cs="宋体"/>
          <w:color w:val="auto"/>
          <w:kern w:val="13"/>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outlineLvl w:val="9"/>
        <w:rPr>
          <w:rFonts w:hint="default" w:ascii="宋体" w:hAnsi="宋体" w:eastAsia="宋体" w:cs="宋体"/>
          <w:color w:val="auto"/>
          <w:kern w:val="13"/>
          <w:sz w:val="24"/>
          <w:szCs w:val="24"/>
          <w:highlight w:val="none"/>
          <w:lang w:val="en-US" w:eastAsia="zh-CN"/>
        </w:rPr>
      </w:pPr>
      <w:bookmarkStart w:id="114" w:name="_Toc21850"/>
      <w:r>
        <w:rPr>
          <w:rFonts w:hint="eastAsia" w:ascii="宋体" w:hAnsi="宋体" w:cs="宋体"/>
          <w:color w:val="auto"/>
          <w:kern w:val="13"/>
          <w:sz w:val="24"/>
          <w:szCs w:val="24"/>
          <w:highlight w:val="none"/>
          <w:lang w:val="en-US" w:eastAsia="zh-CN"/>
        </w:rPr>
        <w:t xml:space="preserve">鲍仁冬     中钢集团武汉安全环保研究院有限公司    </w:t>
      </w:r>
      <w:r>
        <w:rPr>
          <w:rFonts w:hint="eastAsia" w:ascii="宋体" w:hAnsi="宋体" w:eastAsia="宋体" w:cs="宋体"/>
          <w:color w:val="auto"/>
          <w:kern w:val="13"/>
          <w:sz w:val="24"/>
          <w:szCs w:val="24"/>
          <w:highlight w:val="none"/>
          <w:lang w:val="en-US" w:eastAsia="zh-CN"/>
        </w:rPr>
        <w:t>高  工</w:t>
      </w:r>
      <w:r>
        <w:rPr>
          <w:rFonts w:hint="eastAsia" w:ascii="宋体" w:hAnsi="宋体" w:eastAsia="宋体" w:cs="宋体"/>
          <w:color w:val="auto"/>
          <w:kern w:val="13"/>
          <w:sz w:val="24"/>
          <w:szCs w:val="24"/>
          <w:highlight w:val="none"/>
        </w:rPr>
        <w:t xml:space="preserve">    </w:t>
      </w:r>
      <w:r>
        <w:rPr>
          <w:rFonts w:hint="eastAsia" w:ascii="宋体" w:hAnsi="宋体" w:cs="宋体"/>
          <w:color w:val="auto"/>
          <w:kern w:val="13"/>
          <w:sz w:val="24"/>
          <w:szCs w:val="24"/>
          <w:highlight w:val="none"/>
          <w:lang w:val="en-US" w:eastAsia="zh-CN"/>
        </w:rPr>
        <w:t>环境</w:t>
      </w:r>
      <w:r>
        <w:rPr>
          <w:rFonts w:hint="eastAsia" w:ascii="宋体" w:hAnsi="宋体" w:eastAsia="宋体" w:cs="宋体"/>
          <w:color w:val="auto"/>
          <w:kern w:val="13"/>
          <w:sz w:val="24"/>
          <w:szCs w:val="24"/>
          <w:highlight w:val="none"/>
          <w:lang w:val="en-US" w:eastAsia="zh-CN"/>
        </w:rPr>
        <w:t>工程</w:t>
      </w:r>
      <w:bookmarkEnd w:id="114"/>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outlineLvl w:val="9"/>
        <w:rPr>
          <w:rFonts w:hint="default" w:ascii="宋体" w:hAnsi="宋体" w:eastAsia="宋体" w:cs="宋体"/>
          <w:color w:val="auto"/>
          <w:kern w:val="13"/>
          <w:sz w:val="24"/>
          <w:szCs w:val="24"/>
          <w:highlight w:val="none"/>
          <w:lang w:val="en-US" w:eastAsia="zh-CN"/>
        </w:rPr>
      </w:pPr>
      <w:bookmarkStart w:id="115" w:name="_Toc3076"/>
      <w:r>
        <w:rPr>
          <w:rFonts w:hint="eastAsia" w:ascii="宋体" w:hAnsi="宋体" w:cs="宋体"/>
          <w:color w:val="auto"/>
          <w:kern w:val="13"/>
          <w:sz w:val="24"/>
          <w:szCs w:val="24"/>
          <w:highlight w:val="none"/>
          <w:lang w:val="en-US" w:eastAsia="zh-CN"/>
        </w:rPr>
        <w:t xml:space="preserve">吴大德     湖北省机电院集团股份有限公司          </w:t>
      </w:r>
      <w:r>
        <w:rPr>
          <w:rFonts w:hint="eastAsia" w:ascii="宋体" w:hAnsi="宋体" w:eastAsia="宋体" w:cs="宋体"/>
          <w:color w:val="auto"/>
          <w:kern w:val="13"/>
          <w:sz w:val="24"/>
          <w:szCs w:val="24"/>
          <w:highlight w:val="none"/>
          <w:lang w:val="en-US" w:eastAsia="zh-CN"/>
        </w:rPr>
        <w:t>高  工</w:t>
      </w:r>
      <w:r>
        <w:rPr>
          <w:rFonts w:hint="eastAsia" w:ascii="宋体" w:hAnsi="宋体" w:eastAsia="宋体" w:cs="宋体"/>
          <w:color w:val="auto"/>
          <w:kern w:val="13"/>
          <w:sz w:val="24"/>
          <w:szCs w:val="24"/>
          <w:highlight w:val="none"/>
        </w:rPr>
        <w:t xml:space="preserve">    </w:t>
      </w:r>
      <w:r>
        <w:rPr>
          <w:rFonts w:hint="eastAsia" w:ascii="宋体" w:hAnsi="宋体" w:cs="宋体"/>
          <w:color w:val="auto"/>
          <w:kern w:val="13"/>
          <w:sz w:val="24"/>
          <w:szCs w:val="24"/>
          <w:highlight w:val="none"/>
          <w:lang w:val="en-US" w:eastAsia="zh-CN"/>
        </w:rPr>
        <w:t>机械</w:t>
      </w:r>
      <w:r>
        <w:rPr>
          <w:rFonts w:hint="eastAsia" w:ascii="宋体" w:hAnsi="宋体" w:eastAsia="宋体" w:cs="宋体"/>
          <w:color w:val="auto"/>
          <w:kern w:val="13"/>
          <w:sz w:val="24"/>
          <w:szCs w:val="24"/>
          <w:highlight w:val="none"/>
          <w:lang w:val="en-US" w:eastAsia="zh-CN"/>
        </w:rPr>
        <w:t>工程</w:t>
      </w:r>
      <w:bookmarkEnd w:id="115"/>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outlineLvl w:val="9"/>
        <w:rPr>
          <w:rFonts w:hint="default" w:ascii="宋体" w:hAnsi="宋体" w:eastAsia="宋体" w:cs="宋体"/>
          <w:color w:val="auto"/>
          <w:kern w:val="13"/>
          <w:sz w:val="24"/>
          <w:szCs w:val="24"/>
          <w:highlight w:val="none"/>
          <w:lang w:val="en-US" w:eastAsia="zh-CN"/>
        </w:rPr>
      </w:pPr>
      <w:bookmarkStart w:id="116" w:name="_Toc1737"/>
      <w:r>
        <w:rPr>
          <w:rFonts w:hint="eastAsia" w:ascii="宋体" w:hAnsi="宋体" w:eastAsia="宋体" w:cs="宋体"/>
          <w:color w:val="auto"/>
          <w:kern w:val="13"/>
          <w:sz w:val="24"/>
          <w:szCs w:val="24"/>
          <w:highlight w:val="none"/>
          <w:lang w:val="en-US" w:eastAsia="zh-CN"/>
        </w:rPr>
        <w:t>叶</w:t>
      </w:r>
      <w:r>
        <w:rPr>
          <w:rFonts w:hint="eastAsia" w:ascii="宋体" w:hAnsi="宋体" w:cs="宋体"/>
          <w:color w:val="auto"/>
          <w:kern w:val="13"/>
          <w:sz w:val="24"/>
          <w:szCs w:val="24"/>
          <w:highlight w:val="none"/>
          <w:lang w:val="en-US" w:eastAsia="zh-CN"/>
        </w:rPr>
        <w:t xml:space="preserve">  </w:t>
      </w:r>
      <w:r>
        <w:rPr>
          <w:rFonts w:hint="eastAsia" w:ascii="宋体" w:hAnsi="宋体" w:eastAsia="宋体" w:cs="宋体"/>
          <w:color w:val="auto"/>
          <w:kern w:val="13"/>
          <w:sz w:val="24"/>
          <w:szCs w:val="24"/>
          <w:highlight w:val="none"/>
          <w:lang w:val="en-US" w:eastAsia="zh-CN"/>
        </w:rPr>
        <w:t>炯</w:t>
      </w:r>
      <w:r>
        <w:rPr>
          <w:rFonts w:hint="eastAsia" w:ascii="宋体" w:hAnsi="宋体" w:cs="宋体"/>
          <w:color w:val="auto"/>
          <w:kern w:val="13"/>
          <w:sz w:val="24"/>
          <w:szCs w:val="24"/>
          <w:highlight w:val="none"/>
          <w:lang w:val="en-US" w:eastAsia="zh-CN"/>
        </w:rPr>
        <w:t xml:space="preserve">     湖北工建集团设计研究院                </w:t>
      </w:r>
      <w:r>
        <w:rPr>
          <w:rFonts w:hint="eastAsia" w:ascii="宋体" w:hAnsi="宋体" w:eastAsia="宋体" w:cs="宋体"/>
          <w:color w:val="auto"/>
          <w:kern w:val="13"/>
          <w:sz w:val="24"/>
          <w:szCs w:val="24"/>
          <w:highlight w:val="none"/>
          <w:lang w:val="en-US" w:eastAsia="zh-CN"/>
        </w:rPr>
        <w:t>正  高</w:t>
      </w:r>
      <w:r>
        <w:rPr>
          <w:rFonts w:hint="eastAsia" w:ascii="宋体" w:hAnsi="宋体" w:eastAsia="宋体" w:cs="宋体"/>
          <w:color w:val="auto"/>
          <w:kern w:val="13"/>
          <w:sz w:val="24"/>
          <w:szCs w:val="24"/>
          <w:highlight w:val="none"/>
        </w:rPr>
        <w:t xml:space="preserve">    </w:t>
      </w:r>
      <w:r>
        <w:rPr>
          <w:rFonts w:hint="eastAsia" w:ascii="宋体" w:hAnsi="宋体" w:cs="宋体"/>
          <w:color w:val="auto"/>
          <w:kern w:val="13"/>
          <w:sz w:val="24"/>
          <w:szCs w:val="24"/>
          <w:highlight w:val="none"/>
          <w:lang w:val="en-US" w:eastAsia="zh-CN"/>
        </w:rPr>
        <w:t>建筑规划</w:t>
      </w:r>
      <w:bookmarkEnd w:id="116"/>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宋体" w:hAnsi="宋体" w:eastAsia="宋体" w:cs="宋体"/>
          <w:color w:val="auto"/>
          <w:kern w:val="13"/>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rPr>
        <w:br w:type="page"/>
      </w:r>
      <w:r>
        <w:rPr>
          <w:rFonts w:hint="eastAsia" w:ascii="宋体" w:hAnsi="宋体" w:eastAsia="宋体" w:cs="宋体"/>
          <w:color w:val="auto"/>
          <w:sz w:val="28"/>
          <w:szCs w:val="28"/>
          <w:lang w:eastAsia="zh-CN"/>
        </w:rPr>
        <w:drawing>
          <wp:inline distT="0" distB="0" distL="114300" distR="114300">
            <wp:extent cx="5269865" cy="7454900"/>
            <wp:effectExtent l="0" t="0" r="6985" b="12700"/>
            <wp:docPr id="16" name="图片 1" descr="意见表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意见表_1"/>
                    <pic:cNvPicPr>
                      <a:picLocks noChangeAspect="1"/>
                    </pic:cNvPicPr>
                  </pic:nvPicPr>
                  <pic:blipFill>
                    <a:blip r:embed="rId53"/>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7" name="图片 2" descr="意见表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descr="意见表_2"/>
                    <pic:cNvPicPr>
                      <a:picLocks noChangeAspect="1"/>
                    </pic:cNvPicPr>
                  </pic:nvPicPr>
                  <pic:blipFill>
                    <a:blip r:embed="rId54"/>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4" name="图片 3" descr="专家个人意见表（梁楚）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专家个人意见表（梁楚）_1"/>
                    <pic:cNvPicPr>
                      <a:picLocks noChangeAspect="1"/>
                    </pic:cNvPicPr>
                  </pic:nvPicPr>
                  <pic:blipFill>
                    <a:blip r:embed="rId55"/>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8" name="图片 4" descr="专家个人意见表（梁楚）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descr="专家个人意见表（梁楚）_2"/>
                    <pic:cNvPicPr>
                      <a:picLocks noChangeAspect="1"/>
                    </pic:cNvPicPr>
                  </pic:nvPicPr>
                  <pic:blipFill>
                    <a:blip r:embed="rId56"/>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2" name="图片 5" descr="专家个人意见表（梁楚）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专家个人意见表（梁楚）_3"/>
                    <pic:cNvPicPr>
                      <a:picLocks noChangeAspect="1"/>
                    </pic:cNvPicPr>
                  </pic:nvPicPr>
                  <pic:blipFill>
                    <a:blip r:embed="rId57"/>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1" name="图片 6" descr="专家个人意见表（梁楚）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专家个人意见表（梁楚）_4"/>
                    <pic:cNvPicPr>
                      <a:picLocks noChangeAspect="1"/>
                    </pic:cNvPicPr>
                  </pic:nvPicPr>
                  <pic:blipFill>
                    <a:blip r:embed="rId58"/>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0" name="图片 7" descr="专家个人意见表（梁楚）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专家个人意见表（梁楚）_5"/>
                    <pic:cNvPicPr>
                      <a:picLocks noChangeAspect="1"/>
                    </pic:cNvPicPr>
                  </pic:nvPicPr>
                  <pic:blipFill>
                    <a:blip r:embed="rId59"/>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57165" cy="6618605"/>
            <wp:effectExtent l="0" t="0" r="635" b="10795"/>
            <wp:docPr id="9" name="图片 8" descr="扫描全能王 2024-02-06 11.3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扫描全能王 2024-02-06 11.34_1"/>
                    <pic:cNvPicPr>
                      <a:picLocks noChangeAspect="1"/>
                    </pic:cNvPicPr>
                  </pic:nvPicPr>
                  <pic:blipFill>
                    <a:blip r:embed="rId60"/>
                    <a:stretch>
                      <a:fillRect/>
                    </a:stretch>
                  </pic:blipFill>
                  <pic:spPr>
                    <a:xfrm>
                      <a:off x="0" y="0"/>
                      <a:ext cx="5257165" cy="66186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drawing>
          <wp:inline distT="0" distB="0" distL="114300" distR="114300">
            <wp:extent cx="5253355" cy="6954520"/>
            <wp:effectExtent l="0" t="0" r="4445" b="17780"/>
            <wp:docPr id="8" name="图片 9" descr="扫描全能王 2024-02-06 11.3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扫描全能王 2024-02-06 11.34_2"/>
                    <pic:cNvPicPr>
                      <a:picLocks noChangeAspect="1"/>
                    </pic:cNvPicPr>
                  </pic:nvPicPr>
                  <pic:blipFill>
                    <a:blip r:embed="rId61"/>
                    <a:stretch>
                      <a:fillRect/>
                    </a:stretch>
                  </pic:blipFill>
                  <pic:spPr>
                    <a:xfrm>
                      <a:off x="0" y="0"/>
                      <a:ext cx="5253355" cy="69545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drawing>
          <wp:inline distT="0" distB="0" distL="114300" distR="114300">
            <wp:extent cx="5254625" cy="7592060"/>
            <wp:effectExtent l="0" t="0" r="3175" b="8890"/>
            <wp:docPr id="7" name="图片 10" descr="扫描文稿 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扫描文稿 3_1"/>
                    <pic:cNvPicPr>
                      <a:picLocks noChangeAspect="1"/>
                    </pic:cNvPicPr>
                  </pic:nvPicPr>
                  <pic:blipFill>
                    <a:blip r:embed="rId62"/>
                    <a:stretch>
                      <a:fillRect/>
                    </a:stretch>
                  </pic:blipFill>
                  <pic:spPr>
                    <a:xfrm>
                      <a:off x="0" y="0"/>
                      <a:ext cx="5254625" cy="75920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52085" cy="7783195"/>
            <wp:effectExtent l="0" t="0" r="5715" b="8255"/>
            <wp:docPr id="6" name="图片 11" descr="扫描文稿 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descr="扫描文稿 3_2"/>
                    <pic:cNvPicPr>
                      <a:picLocks noChangeAspect="1"/>
                    </pic:cNvPicPr>
                  </pic:nvPicPr>
                  <pic:blipFill>
                    <a:blip r:embed="rId63"/>
                    <a:stretch>
                      <a:fillRect/>
                    </a:stretch>
                  </pic:blipFill>
                  <pic:spPr>
                    <a:xfrm>
                      <a:off x="0" y="0"/>
                      <a:ext cx="5252085" cy="77831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5" name="图片 12" descr="专家个人意见表（建筑规划)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descr="专家个人意见表（建筑规划)_1"/>
                    <pic:cNvPicPr>
                      <a:picLocks noChangeAspect="1"/>
                    </pic:cNvPicPr>
                  </pic:nvPicPr>
                  <pic:blipFill>
                    <a:blip r:embed="rId64"/>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3" name="图片 13" descr="专家个人意见表（建筑规划)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descr="专家个人意见表（建筑规划)_2"/>
                    <pic:cNvPicPr>
                      <a:picLocks noChangeAspect="1"/>
                    </pic:cNvPicPr>
                  </pic:nvPicPr>
                  <pic:blipFill>
                    <a:blip r:embed="rId65"/>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pStyle w:val="61"/>
        <w:rPr>
          <w:rFonts w:hint="default" w:cs="Times New Roman"/>
          <w:b/>
          <w:bCs/>
          <w:color w:val="auto"/>
          <w:sz w:val="28"/>
          <w:szCs w:val="28"/>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2154031"/>
      <w:docPartObj>
        <w:docPartGallery w:val="autotext"/>
      </w:docPartObj>
    </w:sdtPr>
    <w:sdtEndPr>
      <w:rPr>
        <w:sz w:val="21"/>
      </w:rPr>
    </w:sdtEndPr>
    <w:sdtContent>
      <w:p>
        <w:pPr>
          <w:pStyle w:val="19"/>
          <w:ind w:firstLine="0" w:firstLineChars="0"/>
          <w:jc w:val="center"/>
          <w:rPr>
            <w:sz w:val="21"/>
          </w:rPr>
        </w:pPr>
        <w:r>
          <w:rPr>
            <w:sz w:val="21"/>
          </w:rPr>
          <w:fldChar w:fldCharType="begin"/>
        </w:r>
        <w:r>
          <w:rPr>
            <w:sz w:val="21"/>
          </w:rPr>
          <w:instrText xml:space="preserve">PAGE   \* MERGEFORMAT</w:instrText>
        </w:r>
        <w:r>
          <w:rPr>
            <w:sz w:val="21"/>
          </w:rPr>
          <w:fldChar w:fldCharType="separate"/>
        </w:r>
        <w:r>
          <w:rPr>
            <w:sz w:val="21"/>
            <w:lang w:val="zh-CN"/>
          </w:rPr>
          <w:t>I</w:t>
        </w:r>
        <w:r>
          <w:rPr>
            <w:sz w:val="21"/>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1800182"/>
      <w:docPartObj>
        <w:docPartGallery w:val="autotext"/>
      </w:docPartObj>
    </w:sdtPr>
    <w:sdtEndPr>
      <w:rPr>
        <w:sz w:val="21"/>
      </w:rPr>
    </w:sdtEndPr>
    <w:sdtContent>
      <w:p>
        <w:pPr>
          <w:pStyle w:val="19"/>
          <w:ind w:firstLine="0" w:firstLineChars="0"/>
          <w:jc w:val="center"/>
          <w:rPr>
            <w:sz w:val="21"/>
          </w:rPr>
        </w:pPr>
        <w:r>
          <w:rPr>
            <w:sz w:val="21"/>
          </w:rPr>
          <w:fldChar w:fldCharType="begin"/>
        </w:r>
        <w:r>
          <w:rPr>
            <w:sz w:val="21"/>
          </w:rPr>
          <w:instrText xml:space="preserve">PAGE   \* MERGEFORMAT</w:instrText>
        </w:r>
        <w:r>
          <w:rPr>
            <w:sz w:val="21"/>
          </w:rPr>
          <w:fldChar w:fldCharType="separate"/>
        </w:r>
        <w:r>
          <w:rPr>
            <w:sz w:val="21"/>
            <w:lang w:val="zh-CN"/>
          </w:rPr>
          <w:t>105</w:t>
        </w:r>
        <w:r>
          <w:rPr>
            <w:sz w:val="21"/>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4869890"/>
    </w:sdtPr>
    <w:sdtEndPr>
      <w:rPr>
        <w:sz w:val="21"/>
      </w:rPr>
    </w:sdtEndPr>
    <w:sdtContent>
      <w:p>
        <w:pPr>
          <w:pStyle w:val="19"/>
          <w:ind w:firstLine="0" w:firstLineChars="0"/>
          <w:jc w:val="center"/>
          <w:rPr>
            <w:sz w:val="21"/>
          </w:rPr>
        </w:pPr>
        <w:r>
          <w:rPr>
            <w:sz w:val="21"/>
          </w:rPr>
          <w:fldChar w:fldCharType="begin"/>
        </w:r>
        <w:r>
          <w:rPr>
            <w:sz w:val="21"/>
          </w:rPr>
          <w:instrText xml:space="preserve">PAGE   \* MERGEFORMAT</w:instrText>
        </w:r>
        <w:r>
          <w:rPr>
            <w:sz w:val="21"/>
          </w:rPr>
          <w:fldChar w:fldCharType="separate"/>
        </w:r>
        <w:r>
          <w:rPr>
            <w:sz w:val="21"/>
            <w:lang w:val="zh-CN"/>
          </w:rPr>
          <w:t>108</w:t>
        </w:r>
        <w:r>
          <w:rPr>
            <w:sz w:val="21"/>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0" w:firstLineChars="0"/>
      <w:jc w:val="both"/>
    </w:pPr>
    <w:r>
      <w:rPr>
        <w:rFonts w:hint="eastAsia"/>
      </w:rPr>
      <w:t xml:space="preserve">咸宁国家高新技术产业开发区   </w:t>
    </w:r>
    <w:r>
      <w:rPr>
        <w:rFonts w:hint="eastAsia"/>
        <w:lang w:val="en-US" w:eastAsia="zh-CN"/>
      </w:rPr>
      <w:t xml:space="preserve">                                                   </w:t>
    </w:r>
    <w:r>
      <w:rPr>
        <w:rFonts w:hint="eastAsia"/>
      </w:rPr>
      <w:t>区域节能报告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0B0107"/>
    <w:multiLevelType w:val="singleLevel"/>
    <w:tmpl w:val="800B0107"/>
    <w:lvl w:ilvl="0" w:tentative="0">
      <w:start w:val="1"/>
      <w:numFmt w:val="decimal"/>
      <w:suff w:val="nothing"/>
      <w:lvlText w:val="（%1）"/>
      <w:lvlJc w:val="left"/>
    </w:lvl>
  </w:abstractNum>
  <w:abstractNum w:abstractNumId="1">
    <w:nsid w:val="9126C2A1"/>
    <w:multiLevelType w:val="singleLevel"/>
    <w:tmpl w:val="9126C2A1"/>
    <w:lvl w:ilvl="0" w:tentative="0">
      <w:start w:val="1"/>
      <w:numFmt w:val="decimal"/>
      <w:suff w:val="nothing"/>
      <w:lvlText w:val="（%1）"/>
      <w:lvlJc w:val="left"/>
    </w:lvl>
  </w:abstractNum>
  <w:abstractNum w:abstractNumId="2">
    <w:nsid w:val="A1F5ED64"/>
    <w:multiLevelType w:val="singleLevel"/>
    <w:tmpl w:val="A1F5ED64"/>
    <w:lvl w:ilvl="0" w:tentative="0">
      <w:start w:val="1"/>
      <w:numFmt w:val="decimal"/>
      <w:suff w:val="nothing"/>
      <w:lvlText w:val="（%1）"/>
      <w:lvlJc w:val="left"/>
    </w:lvl>
  </w:abstractNum>
  <w:abstractNum w:abstractNumId="3">
    <w:nsid w:val="AA3FFA12"/>
    <w:multiLevelType w:val="singleLevel"/>
    <w:tmpl w:val="AA3FFA12"/>
    <w:lvl w:ilvl="0" w:tentative="0">
      <w:start w:val="1"/>
      <w:numFmt w:val="decimal"/>
      <w:suff w:val="nothing"/>
      <w:lvlText w:val="（%1）"/>
      <w:lvlJc w:val="left"/>
    </w:lvl>
  </w:abstractNum>
  <w:abstractNum w:abstractNumId="4">
    <w:nsid w:val="B7136975"/>
    <w:multiLevelType w:val="singleLevel"/>
    <w:tmpl w:val="B7136975"/>
    <w:lvl w:ilvl="0" w:tentative="0">
      <w:start w:val="1"/>
      <w:numFmt w:val="decimal"/>
      <w:suff w:val="nothing"/>
      <w:lvlText w:val="（%1）"/>
      <w:lvlJc w:val="left"/>
    </w:lvl>
  </w:abstractNum>
  <w:abstractNum w:abstractNumId="5">
    <w:nsid w:val="C878770E"/>
    <w:multiLevelType w:val="singleLevel"/>
    <w:tmpl w:val="C878770E"/>
    <w:lvl w:ilvl="0" w:tentative="0">
      <w:start w:val="1"/>
      <w:numFmt w:val="decimal"/>
      <w:suff w:val="nothing"/>
      <w:lvlText w:val="（%1）"/>
      <w:lvlJc w:val="left"/>
    </w:lvl>
  </w:abstractNum>
  <w:abstractNum w:abstractNumId="6">
    <w:nsid w:val="021935B0"/>
    <w:multiLevelType w:val="multilevel"/>
    <w:tmpl w:val="021935B0"/>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09F4127E"/>
    <w:multiLevelType w:val="multilevel"/>
    <w:tmpl w:val="09F4127E"/>
    <w:lvl w:ilvl="0" w:tentative="0">
      <w:start w:val="1"/>
      <w:numFmt w:val="japaneseCounting"/>
      <w:pStyle w:val="2"/>
      <w:lvlText w:val="第%1章"/>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FC0794"/>
    <w:multiLevelType w:val="multilevel"/>
    <w:tmpl w:val="0EFC0794"/>
    <w:lvl w:ilvl="0" w:tentative="0">
      <w:start w:val="1"/>
      <w:numFmt w:val="decimal"/>
      <w:lvlText w:val="%1.）"/>
      <w:lvlJc w:val="left"/>
      <w:pPr>
        <w:ind w:left="980" w:hanging="420"/>
      </w:pPr>
      <w:rPr>
        <w:rFonts w:hint="eastAsia"/>
      </w:rPr>
    </w:lvl>
    <w:lvl w:ilvl="1" w:tentative="0">
      <w:start w:val="1"/>
      <w:numFmt w:val="decimal"/>
      <w:suff w:val="nothing"/>
      <w:lvlText w:val="%2.）"/>
      <w:lvlJc w:val="left"/>
      <w:pPr>
        <w:ind w:left="42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5895D03"/>
    <w:multiLevelType w:val="multilevel"/>
    <w:tmpl w:val="15895D03"/>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0">
    <w:nsid w:val="2840AD30"/>
    <w:multiLevelType w:val="multilevel"/>
    <w:tmpl w:val="2840AD30"/>
    <w:lvl w:ilvl="0" w:tentative="0">
      <w:start w:val="1"/>
      <w:numFmt w:val="chineseCounting"/>
      <w:suff w:val="nothing"/>
      <w:lvlText w:val="第%1章 "/>
      <w:lvlJc w:val="left"/>
      <w:pPr>
        <w:ind w:left="425" w:hanging="425"/>
      </w:pPr>
      <w:rPr>
        <w:rFonts w:hint="eastAsia"/>
      </w:rPr>
    </w:lvl>
    <w:lvl w:ilvl="1" w:tentative="0">
      <w:start w:val="1"/>
      <w:numFmt w:val="decimal"/>
      <w:isLgl/>
      <w:lvlText w:val="%1.%2."/>
      <w:lvlJc w:val="left"/>
      <w:pPr>
        <w:ind w:left="567" w:hanging="567"/>
      </w:pPr>
      <w:rPr>
        <w:rFonts w:hint="eastAsia"/>
      </w:rPr>
    </w:lvl>
    <w:lvl w:ilvl="2" w:tentative="0">
      <w:start w:val="1"/>
      <w:numFmt w:val="decimal"/>
      <w:isLgl/>
      <w:lvlText w:val="%1.%2.%3."/>
      <w:lvlJc w:val="left"/>
      <w:pPr>
        <w:ind w:left="709" w:hanging="709"/>
      </w:pPr>
      <w:rPr>
        <w:rFonts w:hint="eastAsia"/>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11">
    <w:nsid w:val="2F591D82"/>
    <w:multiLevelType w:val="multilevel"/>
    <w:tmpl w:val="2F591D82"/>
    <w:lvl w:ilvl="0" w:tentative="0">
      <w:start w:val="1"/>
      <w:numFmt w:val="decimal"/>
      <w:suff w:val="nothing"/>
      <w:lvlText w:val="（%1）"/>
      <w:lvlJc w:val="left"/>
      <w:pPr>
        <w:ind w:left="420" w:hanging="420"/>
      </w:pPr>
      <w:rPr>
        <w:rFonts w:hint="eastAsia"/>
      </w:rPr>
    </w:lvl>
    <w:lvl w:ilvl="1" w:tentative="0">
      <w:start w:val="1"/>
      <w:numFmt w:val="decimalEnclosedCircle"/>
      <w:lvlText w:val="%2"/>
      <w:lvlJc w:val="left"/>
      <w:pPr>
        <w:ind w:left="1340" w:hanging="360"/>
      </w:pPr>
      <w:rPr>
        <w:rFonts w:hint="default"/>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2">
    <w:nsid w:val="3A4B4E1C"/>
    <w:multiLevelType w:val="multilevel"/>
    <w:tmpl w:val="3A4B4E1C"/>
    <w:lvl w:ilvl="0" w:tentative="0">
      <w:start w:val="1"/>
      <w:numFmt w:val="chineseCounting"/>
      <w:suff w:val="nothing"/>
      <w:lvlText w:val="第%1章 "/>
      <w:lvlJc w:val="left"/>
      <w:pPr>
        <w:ind w:left="425" w:hanging="425"/>
      </w:pPr>
      <w:rPr>
        <w:rFonts w:hint="eastAsia"/>
      </w:rPr>
    </w:lvl>
    <w:lvl w:ilvl="1" w:tentative="0">
      <w:start w:val="1"/>
      <w:numFmt w:val="decimal"/>
      <w:isLgl/>
      <w:lvlText w:val="%1.%2."/>
      <w:lvlJc w:val="left"/>
      <w:pPr>
        <w:ind w:left="567" w:hanging="567"/>
      </w:pPr>
      <w:rPr>
        <w:rFonts w:hint="eastAsia"/>
      </w:rPr>
    </w:lvl>
    <w:lvl w:ilvl="2" w:tentative="0">
      <w:start w:val="1"/>
      <w:numFmt w:val="decimal"/>
      <w:isLgl/>
      <w:lvlText w:val="%1.%2.%3."/>
      <w:lvlJc w:val="left"/>
      <w:pPr>
        <w:ind w:left="709" w:hanging="709"/>
      </w:pPr>
      <w:rPr>
        <w:rFonts w:hint="eastAsia"/>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13">
    <w:nsid w:val="4A5604AA"/>
    <w:multiLevelType w:val="singleLevel"/>
    <w:tmpl w:val="4A5604AA"/>
    <w:lvl w:ilvl="0" w:tentative="0">
      <w:start w:val="1"/>
      <w:numFmt w:val="decimal"/>
      <w:suff w:val="nothing"/>
      <w:lvlText w:val="（%1）"/>
      <w:lvlJc w:val="left"/>
      <w:rPr>
        <w:rFonts w:hint="default"/>
        <w:color w:val="auto"/>
      </w:rPr>
    </w:lvl>
  </w:abstractNum>
  <w:abstractNum w:abstractNumId="14">
    <w:nsid w:val="6532058F"/>
    <w:multiLevelType w:val="multilevel"/>
    <w:tmpl w:val="6532058F"/>
    <w:lvl w:ilvl="0" w:tentative="0">
      <w:start w:val="1"/>
      <w:numFmt w:val="decimal"/>
      <w:suff w:val="nothing"/>
      <w:lvlText w:val="（%1）"/>
      <w:lvlJc w:val="left"/>
      <w:pPr>
        <w:ind w:left="98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5">
    <w:nsid w:val="6B821791"/>
    <w:multiLevelType w:val="multilevel"/>
    <w:tmpl w:val="6B821791"/>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6">
    <w:nsid w:val="6E94CAD0"/>
    <w:multiLevelType w:val="singleLevel"/>
    <w:tmpl w:val="6E94CAD0"/>
    <w:lvl w:ilvl="0" w:tentative="0">
      <w:start w:val="1"/>
      <w:numFmt w:val="decimal"/>
      <w:suff w:val="nothing"/>
      <w:lvlText w:val="（%1）"/>
      <w:lvlJc w:val="left"/>
      <w:rPr>
        <w:rFonts w:hint="default"/>
        <w:color w:val="FF0000"/>
      </w:rPr>
    </w:lvl>
  </w:abstractNum>
  <w:abstractNum w:abstractNumId="17">
    <w:nsid w:val="7CC14CD1"/>
    <w:multiLevelType w:val="multilevel"/>
    <w:tmpl w:val="7CC14CD1"/>
    <w:lvl w:ilvl="0" w:tentative="0">
      <w:start w:val="1"/>
      <w:numFmt w:val="decimal"/>
      <w:suff w:val="nothing"/>
      <w:lvlText w:val="（%1）"/>
      <w:lvlJc w:val="left"/>
      <w:pPr>
        <w:ind w:left="72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8">
    <w:nsid w:val="7D8681A5"/>
    <w:multiLevelType w:val="singleLevel"/>
    <w:tmpl w:val="7D8681A5"/>
    <w:lvl w:ilvl="0" w:tentative="0">
      <w:start w:val="1"/>
      <w:numFmt w:val="decimal"/>
      <w:suff w:val="nothing"/>
      <w:lvlText w:val="（%1）"/>
      <w:lvlJc w:val="left"/>
    </w:lvl>
  </w:abstractNum>
  <w:num w:numId="1">
    <w:abstractNumId w:val="7"/>
  </w:num>
  <w:num w:numId="2">
    <w:abstractNumId w:val="10"/>
  </w:num>
  <w:num w:numId="3">
    <w:abstractNumId w:val="12"/>
  </w:num>
  <w:num w:numId="4">
    <w:abstractNumId w:val="15"/>
  </w:num>
  <w:num w:numId="5">
    <w:abstractNumId w:val="6"/>
  </w:num>
  <w:num w:numId="6">
    <w:abstractNumId w:val="11"/>
  </w:num>
  <w:num w:numId="7">
    <w:abstractNumId w:val="14"/>
  </w:num>
  <w:num w:numId="8">
    <w:abstractNumId w:val="2"/>
  </w:num>
  <w:num w:numId="9">
    <w:abstractNumId w:val="3"/>
  </w:num>
  <w:num w:numId="10">
    <w:abstractNumId w:val="18"/>
  </w:num>
  <w:num w:numId="11">
    <w:abstractNumId w:val="5"/>
  </w:num>
  <w:num w:numId="12">
    <w:abstractNumId w:val="0"/>
  </w:num>
  <w:num w:numId="13">
    <w:abstractNumId w:val="8"/>
  </w:num>
  <w:num w:numId="14">
    <w:abstractNumId w:val="9"/>
  </w:num>
  <w:num w:numId="15">
    <w:abstractNumId w:val="17"/>
  </w:num>
  <w:num w:numId="16">
    <w:abstractNumId w:val="4"/>
  </w:num>
  <w:num w:numId="17">
    <w:abstractNumId w:val="13"/>
  </w:num>
  <w:num w:numId="18">
    <w:abstractNumId w:val="1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hideSpellingErrors/>
  <w:documentProtection w:enforcement="0"/>
  <w:defaultTabStop w:val="420"/>
  <w:drawingGridHorizontalSpacing w:val="140"/>
  <w:drawingGridVerticalSpacing w:val="19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1NDZlZmI3NzViNzU2YmRkYzBlN2MwOWY2ZDAxOTUifQ=="/>
  </w:docVars>
  <w:rsids>
    <w:rsidRoot w:val="00A12A30"/>
    <w:rsid w:val="000009E3"/>
    <w:rsid w:val="00000F2A"/>
    <w:rsid w:val="000011BB"/>
    <w:rsid w:val="00001C65"/>
    <w:rsid w:val="00002EF7"/>
    <w:rsid w:val="00003BD9"/>
    <w:rsid w:val="00003C7F"/>
    <w:rsid w:val="00003EE2"/>
    <w:rsid w:val="000048DE"/>
    <w:rsid w:val="00006249"/>
    <w:rsid w:val="00006C8F"/>
    <w:rsid w:val="000072D3"/>
    <w:rsid w:val="00007FB7"/>
    <w:rsid w:val="00010804"/>
    <w:rsid w:val="00011B6B"/>
    <w:rsid w:val="00012898"/>
    <w:rsid w:val="0001300B"/>
    <w:rsid w:val="000139BB"/>
    <w:rsid w:val="00013B67"/>
    <w:rsid w:val="000145DB"/>
    <w:rsid w:val="00014674"/>
    <w:rsid w:val="000147E6"/>
    <w:rsid w:val="000148A3"/>
    <w:rsid w:val="00015049"/>
    <w:rsid w:val="000157A6"/>
    <w:rsid w:val="00015A23"/>
    <w:rsid w:val="00015AAF"/>
    <w:rsid w:val="000169A2"/>
    <w:rsid w:val="000174DB"/>
    <w:rsid w:val="0001750E"/>
    <w:rsid w:val="000176A5"/>
    <w:rsid w:val="00017C43"/>
    <w:rsid w:val="000201C7"/>
    <w:rsid w:val="00020303"/>
    <w:rsid w:val="00020FA6"/>
    <w:rsid w:val="000219EB"/>
    <w:rsid w:val="00021CAD"/>
    <w:rsid w:val="00022027"/>
    <w:rsid w:val="00022BD9"/>
    <w:rsid w:val="00022C4C"/>
    <w:rsid w:val="00022C7C"/>
    <w:rsid w:val="00022DA4"/>
    <w:rsid w:val="00022DD0"/>
    <w:rsid w:val="0002313D"/>
    <w:rsid w:val="00023D84"/>
    <w:rsid w:val="0002514B"/>
    <w:rsid w:val="0002527C"/>
    <w:rsid w:val="000252E4"/>
    <w:rsid w:val="00025364"/>
    <w:rsid w:val="00025563"/>
    <w:rsid w:val="000274D5"/>
    <w:rsid w:val="000300F2"/>
    <w:rsid w:val="0003034C"/>
    <w:rsid w:val="00030D2C"/>
    <w:rsid w:val="00030FFC"/>
    <w:rsid w:val="00031965"/>
    <w:rsid w:val="000319FE"/>
    <w:rsid w:val="0003243C"/>
    <w:rsid w:val="00032F6A"/>
    <w:rsid w:val="00034C63"/>
    <w:rsid w:val="00034D1A"/>
    <w:rsid w:val="00034F1A"/>
    <w:rsid w:val="00035CB9"/>
    <w:rsid w:val="00035F73"/>
    <w:rsid w:val="0003600F"/>
    <w:rsid w:val="000363FC"/>
    <w:rsid w:val="00037C98"/>
    <w:rsid w:val="00037D01"/>
    <w:rsid w:val="00037F88"/>
    <w:rsid w:val="0004000A"/>
    <w:rsid w:val="000419C6"/>
    <w:rsid w:val="00041B54"/>
    <w:rsid w:val="000425D7"/>
    <w:rsid w:val="00042650"/>
    <w:rsid w:val="00042C8E"/>
    <w:rsid w:val="00044B90"/>
    <w:rsid w:val="00045374"/>
    <w:rsid w:val="00045834"/>
    <w:rsid w:val="00045972"/>
    <w:rsid w:val="00045B0F"/>
    <w:rsid w:val="0004638A"/>
    <w:rsid w:val="000465E4"/>
    <w:rsid w:val="00046D25"/>
    <w:rsid w:val="000471CC"/>
    <w:rsid w:val="000512AC"/>
    <w:rsid w:val="00051496"/>
    <w:rsid w:val="00051AA6"/>
    <w:rsid w:val="00051CB6"/>
    <w:rsid w:val="00051EA0"/>
    <w:rsid w:val="00052899"/>
    <w:rsid w:val="00052A01"/>
    <w:rsid w:val="00052C8C"/>
    <w:rsid w:val="00053169"/>
    <w:rsid w:val="00054146"/>
    <w:rsid w:val="00054918"/>
    <w:rsid w:val="000549E5"/>
    <w:rsid w:val="000562B4"/>
    <w:rsid w:val="000563EB"/>
    <w:rsid w:val="000578A2"/>
    <w:rsid w:val="00057C5A"/>
    <w:rsid w:val="00057D26"/>
    <w:rsid w:val="00060C27"/>
    <w:rsid w:val="00061EDD"/>
    <w:rsid w:val="00062502"/>
    <w:rsid w:val="00062E82"/>
    <w:rsid w:val="00063171"/>
    <w:rsid w:val="00063345"/>
    <w:rsid w:val="000638C1"/>
    <w:rsid w:val="00064C8F"/>
    <w:rsid w:val="000652DE"/>
    <w:rsid w:val="00065DB4"/>
    <w:rsid w:val="0006658E"/>
    <w:rsid w:val="00066A8F"/>
    <w:rsid w:val="000705D7"/>
    <w:rsid w:val="000709E1"/>
    <w:rsid w:val="00071DB9"/>
    <w:rsid w:val="000720F0"/>
    <w:rsid w:val="000722CA"/>
    <w:rsid w:val="00072666"/>
    <w:rsid w:val="000735C6"/>
    <w:rsid w:val="0007476C"/>
    <w:rsid w:val="00076550"/>
    <w:rsid w:val="00076E64"/>
    <w:rsid w:val="0007701D"/>
    <w:rsid w:val="0007735F"/>
    <w:rsid w:val="000779D8"/>
    <w:rsid w:val="00077DF0"/>
    <w:rsid w:val="00077F00"/>
    <w:rsid w:val="00080768"/>
    <w:rsid w:val="00082475"/>
    <w:rsid w:val="00083439"/>
    <w:rsid w:val="000845A3"/>
    <w:rsid w:val="0008487C"/>
    <w:rsid w:val="00084EA3"/>
    <w:rsid w:val="00084EE6"/>
    <w:rsid w:val="00085114"/>
    <w:rsid w:val="00085562"/>
    <w:rsid w:val="0008558E"/>
    <w:rsid w:val="0008596B"/>
    <w:rsid w:val="00085BCF"/>
    <w:rsid w:val="00086412"/>
    <w:rsid w:val="00086555"/>
    <w:rsid w:val="00087A46"/>
    <w:rsid w:val="00090818"/>
    <w:rsid w:val="00090B96"/>
    <w:rsid w:val="00091C8C"/>
    <w:rsid w:val="000928F0"/>
    <w:rsid w:val="000929D6"/>
    <w:rsid w:val="00092ABB"/>
    <w:rsid w:val="00093000"/>
    <w:rsid w:val="00093295"/>
    <w:rsid w:val="0009335F"/>
    <w:rsid w:val="00093589"/>
    <w:rsid w:val="00093735"/>
    <w:rsid w:val="00093AB3"/>
    <w:rsid w:val="000948EA"/>
    <w:rsid w:val="0009565B"/>
    <w:rsid w:val="00095800"/>
    <w:rsid w:val="00095CC5"/>
    <w:rsid w:val="00096447"/>
    <w:rsid w:val="000965E3"/>
    <w:rsid w:val="000A07C5"/>
    <w:rsid w:val="000A12CC"/>
    <w:rsid w:val="000A24E7"/>
    <w:rsid w:val="000A33DD"/>
    <w:rsid w:val="000A3B98"/>
    <w:rsid w:val="000A3DC0"/>
    <w:rsid w:val="000A3F63"/>
    <w:rsid w:val="000A5473"/>
    <w:rsid w:val="000A549C"/>
    <w:rsid w:val="000A56AE"/>
    <w:rsid w:val="000A570E"/>
    <w:rsid w:val="000A5A50"/>
    <w:rsid w:val="000A5A84"/>
    <w:rsid w:val="000A5C49"/>
    <w:rsid w:val="000A5CEC"/>
    <w:rsid w:val="000A5D78"/>
    <w:rsid w:val="000A7249"/>
    <w:rsid w:val="000A748A"/>
    <w:rsid w:val="000B00D5"/>
    <w:rsid w:val="000B107C"/>
    <w:rsid w:val="000B10DF"/>
    <w:rsid w:val="000B1249"/>
    <w:rsid w:val="000B24EB"/>
    <w:rsid w:val="000B2CA9"/>
    <w:rsid w:val="000B3059"/>
    <w:rsid w:val="000B3837"/>
    <w:rsid w:val="000B3CC0"/>
    <w:rsid w:val="000B46BC"/>
    <w:rsid w:val="000B50C8"/>
    <w:rsid w:val="000B5F74"/>
    <w:rsid w:val="000B6211"/>
    <w:rsid w:val="000B6A5E"/>
    <w:rsid w:val="000B771A"/>
    <w:rsid w:val="000B7B0A"/>
    <w:rsid w:val="000B7D43"/>
    <w:rsid w:val="000C1FB8"/>
    <w:rsid w:val="000C2131"/>
    <w:rsid w:val="000C2E3D"/>
    <w:rsid w:val="000C2FB8"/>
    <w:rsid w:val="000C35B1"/>
    <w:rsid w:val="000C37BC"/>
    <w:rsid w:val="000C3A11"/>
    <w:rsid w:val="000C3E84"/>
    <w:rsid w:val="000C42F1"/>
    <w:rsid w:val="000C4AAF"/>
    <w:rsid w:val="000C54E5"/>
    <w:rsid w:val="000C5E8C"/>
    <w:rsid w:val="000C644C"/>
    <w:rsid w:val="000C653B"/>
    <w:rsid w:val="000C67DB"/>
    <w:rsid w:val="000C69F9"/>
    <w:rsid w:val="000C6E2E"/>
    <w:rsid w:val="000C7248"/>
    <w:rsid w:val="000D056E"/>
    <w:rsid w:val="000D0B94"/>
    <w:rsid w:val="000D14BA"/>
    <w:rsid w:val="000D1CDE"/>
    <w:rsid w:val="000D25BB"/>
    <w:rsid w:val="000D42F8"/>
    <w:rsid w:val="000D43F2"/>
    <w:rsid w:val="000D4516"/>
    <w:rsid w:val="000D4DCB"/>
    <w:rsid w:val="000D5146"/>
    <w:rsid w:val="000D578F"/>
    <w:rsid w:val="000D6551"/>
    <w:rsid w:val="000D71DF"/>
    <w:rsid w:val="000E0D4E"/>
    <w:rsid w:val="000E134C"/>
    <w:rsid w:val="000E2396"/>
    <w:rsid w:val="000E31A8"/>
    <w:rsid w:val="000E3B4F"/>
    <w:rsid w:val="000E429B"/>
    <w:rsid w:val="000E439A"/>
    <w:rsid w:val="000E51E2"/>
    <w:rsid w:val="000E5BD0"/>
    <w:rsid w:val="000E604C"/>
    <w:rsid w:val="000E6AC0"/>
    <w:rsid w:val="000E79EF"/>
    <w:rsid w:val="000F0B38"/>
    <w:rsid w:val="000F1DA5"/>
    <w:rsid w:val="000F22E0"/>
    <w:rsid w:val="000F23B0"/>
    <w:rsid w:val="000F3102"/>
    <w:rsid w:val="000F318B"/>
    <w:rsid w:val="000F3554"/>
    <w:rsid w:val="000F3FE8"/>
    <w:rsid w:val="000F474E"/>
    <w:rsid w:val="000F4CD5"/>
    <w:rsid w:val="000F5955"/>
    <w:rsid w:val="000F5ED5"/>
    <w:rsid w:val="000F6F1A"/>
    <w:rsid w:val="000F776D"/>
    <w:rsid w:val="000F7BAF"/>
    <w:rsid w:val="000F7F55"/>
    <w:rsid w:val="00100D32"/>
    <w:rsid w:val="00101174"/>
    <w:rsid w:val="001011D8"/>
    <w:rsid w:val="001016E8"/>
    <w:rsid w:val="0010288C"/>
    <w:rsid w:val="001028E4"/>
    <w:rsid w:val="00103257"/>
    <w:rsid w:val="00103264"/>
    <w:rsid w:val="001048EE"/>
    <w:rsid w:val="00105281"/>
    <w:rsid w:val="00105502"/>
    <w:rsid w:val="00105704"/>
    <w:rsid w:val="00105F8F"/>
    <w:rsid w:val="001061BC"/>
    <w:rsid w:val="00106BD3"/>
    <w:rsid w:val="00106EB8"/>
    <w:rsid w:val="0010764A"/>
    <w:rsid w:val="00107A50"/>
    <w:rsid w:val="00107B51"/>
    <w:rsid w:val="00110A5E"/>
    <w:rsid w:val="00111167"/>
    <w:rsid w:val="001121B1"/>
    <w:rsid w:val="00112CB8"/>
    <w:rsid w:val="0011319A"/>
    <w:rsid w:val="0011459B"/>
    <w:rsid w:val="00114A83"/>
    <w:rsid w:val="00115062"/>
    <w:rsid w:val="001159D7"/>
    <w:rsid w:val="00116C0F"/>
    <w:rsid w:val="001171E0"/>
    <w:rsid w:val="00117A4B"/>
    <w:rsid w:val="00117C94"/>
    <w:rsid w:val="001213F2"/>
    <w:rsid w:val="00121CF0"/>
    <w:rsid w:val="001235E0"/>
    <w:rsid w:val="00123B8C"/>
    <w:rsid w:val="0012487D"/>
    <w:rsid w:val="00124FB1"/>
    <w:rsid w:val="00125623"/>
    <w:rsid w:val="001259E1"/>
    <w:rsid w:val="00125EC8"/>
    <w:rsid w:val="00125F44"/>
    <w:rsid w:val="00125FC1"/>
    <w:rsid w:val="001268D8"/>
    <w:rsid w:val="0012756D"/>
    <w:rsid w:val="00127836"/>
    <w:rsid w:val="00130051"/>
    <w:rsid w:val="00130B61"/>
    <w:rsid w:val="00130F80"/>
    <w:rsid w:val="001315A7"/>
    <w:rsid w:val="001316BD"/>
    <w:rsid w:val="00131855"/>
    <w:rsid w:val="00131D71"/>
    <w:rsid w:val="00131E28"/>
    <w:rsid w:val="00132986"/>
    <w:rsid w:val="00132B36"/>
    <w:rsid w:val="00132F03"/>
    <w:rsid w:val="00133615"/>
    <w:rsid w:val="00133932"/>
    <w:rsid w:val="00133C40"/>
    <w:rsid w:val="001343A6"/>
    <w:rsid w:val="00135370"/>
    <w:rsid w:val="00135D0B"/>
    <w:rsid w:val="00135DB1"/>
    <w:rsid w:val="00136A70"/>
    <w:rsid w:val="00136F73"/>
    <w:rsid w:val="0014013C"/>
    <w:rsid w:val="00140625"/>
    <w:rsid w:val="00140638"/>
    <w:rsid w:val="00141285"/>
    <w:rsid w:val="00141696"/>
    <w:rsid w:val="0014199C"/>
    <w:rsid w:val="00141BAF"/>
    <w:rsid w:val="00141BD6"/>
    <w:rsid w:val="00141DA9"/>
    <w:rsid w:val="00141E88"/>
    <w:rsid w:val="001439D1"/>
    <w:rsid w:val="001441A0"/>
    <w:rsid w:val="0014466D"/>
    <w:rsid w:val="00144ECE"/>
    <w:rsid w:val="0014512B"/>
    <w:rsid w:val="0014554A"/>
    <w:rsid w:val="00145559"/>
    <w:rsid w:val="0014576F"/>
    <w:rsid w:val="00146040"/>
    <w:rsid w:val="00147378"/>
    <w:rsid w:val="00147489"/>
    <w:rsid w:val="00147BC2"/>
    <w:rsid w:val="00147BE0"/>
    <w:rsid w:val="00150196"/>
    <w:rsid w:val="0015065B"/>
    <w:rsid w:val="0015213C"/>
    <w:rsid w:val="00152199"/>
    <w:rsid w:val="00152300"/>
    <w:rsid w:val="00154651"/>
    <w:rsid w:val="001557FD"/>
    <w:rsid w:val="001558C4"/>
    <w:rsid w:val="00155D28"/>
    <w:rsid w:val="00156024"/>
    <w:rsid w:val="00156EF3"/>
    <w:rsid w:val="00161D86"/>
    <w:rsid w:val="00162448"/>
    <w:rsid w:val="0016264E"/>
    <w:rsid w:val="00162907"/>
    <w:rsid w:val="00162EC2"/>
    <w:rsid w:val="001634D1"/>
    <w:rsid w:val="00163784"/>
    <w:rsid w:val="001640AA"/>
    <w:rsid w:val="0016410D"/>
    <w:rsid w:val="00164672"/>
    <w:rsid w:val="0016494C"/>
    <w:rsid w:val="001649F8"/>
    <w:rsid w:val="00164ABC"/>
    <w:rsid w:val="0016514E"/>
    <w:rsid w:val="00165444"/>
    <w:rsid w:val="001658DF"/>
    <w:rsid w:val="00165D58"/>
    <w:rsid w:val="0016691A"/>
    <w:rsid w:val="001678EB"/>
    <w:rsid w:val="00167BE9"/>
    <w:rsid w:val="00167CA6"/>
    <w:rsid w:val="00170555"/>
    <w:rsid w:val="001709CA"/>
    <w:rsid w:val="00171517"/>
    <w:rsid w:val="001719FF"/>
    <w:rsid w:val="00172BCB"/>
    <w:rsid w:val="0017315A"/>
    <w:rsid w:val="0017329E"/>
    <w:rsid w:val="0017377F"/>
    <w:rsid w:val="00173E52"/>
    <w:rsid w:val="00174518"/>
    <w:rsid w:val="001750EF"/>
    <w:rsid w:val="00175457"/>
    <w:rsid w:val="0017564E"/>
    <w:rsid w:val="001767C3"/>
    <w:rsid w:val="0017686B"/>
    <w:rsid w:val="001779C5"/>
    <w:rsid w:val="001779FC"/>
    <w:rsid w:val="00180CAA"/>
    <w:rsid w:val="0018121F"/>
    <w:rsid w:val="001813FD"/>
    <w:rsid w:val="00181939"/>
    <w:rsid w:val="00181EC1"/>
    <w:rsid w:val="00182971"/>
    <w:rsid w:val="0018541A"/>
    <w:rsid w:val="00185624"/>
    <w:rsid w:val="00185C73"/>
    <w:rsid w:val="0018615F"/>
    <w:rsid w:val="0018618B"/>
    <w:rsid w:val="00186952"/>
    <w:rsid w:val="00186FF3"/>
    <w:rsid w:val="001879F4"/>
    <w:rsid w:val="00187DBB"/>
    <w:rsid w:val="00187F55"/>
    <w:rsid w:val="001902A4"/>
    <w:rsid w:val="00190BFE"/>
    <w:rsid w:val="00190C8C"/>
    <w:rsid w:val="0019122D"/>
    <w:rsid w:val="0019124C"/>
    <w:rsid w:val="00191450"/>
    <w:rsid w:val="001919AC"/>
    <w:rsid w:val="00191B96"/>
    <w:rsid w:val="00191F5F"/>
    <w:rsid w:val="001920F7"/>
    <w:rsid w:val="001932CD"/>
    <w:rsid w:val="00193A34"/>
    <w:rsid w:val="00193A79"/>
    <w:rsid w:val="00194166"/>
    <w:rsid w:val="00194A7B"/>
    <w:rsid w:val="00194E4B"/>
    <w:rsid w:val="00194EEA"/>
    <w:rsid w:val="00194FEA"/>
    <w:rsid w:val="0019556B"/>
    <w:rsid w:val="001963FA"/>
    <w:rsid w:val="00196C83"/>
    <w:rsid w:val="001973DD"/>
    <w:rsid w:val="00197688"/>
    <w:rsid w:val="001A0027"/>
    <w:rsid w:val="001A0E4C"/>
    <w:rsid w:val="001A1D81"/>
    <w:rsid w:val="001A1DF1"/>
    <w:rsid w:val="001A2082"/>
    <w:rsid w:val="001A3050"/>
    <w:rsid w:val="001A34D2"/>
    <w:rsid w:val="001A3C4C"/>
    <w:rsid w:val="001A3E93"/>
    <w:rsid w:val="001A46B8"/>
    <w:rsid w:val="001A576C"/>
    <w:rsid w:val="001A58DF"/>
    <w:rsid w:val="001A6272"/>
    <w:rsid w:val="001A64AD"/>
    <w:rsid w:val="001A67A4"/>
    <w:rsid w:val="001A6AFF"/>
    <w:rsid w:val="001A6E1B"/>
    <w:rsid w:val="001A6EB8"/>
    <w:rsid w:val="001A72D3"/>
    <w:rsid w:val="001A7C32"/>
    <w:rsid w:val="001A7D46"/>
    <w:rsid w:val="001A7FCF"/>
    <w:rsid w:val="001B05A1"/>
    <w:rsid w:val="001B0854"/>
    <w:rsid w:val="001B1457"/>
    <w:rsid w:val="001B186D"/>
    <w:rsid w:val="001B1C51"/>
    <w:rsid w:val="001B2219"/>
    <w:rsid w:val="001B255F"/>
    <w:rsid w:val="001B26E6"/>
    <w:rsid w:val="001B2B59"/>
    <w:rsid w:val="001B3391"/>
    <w:rsid w:val="001B3FDB"/>
    <w:rsid w:val="001B4352"/>
    <w:rsid w:val="001B46AE"/>
    <w:rsid w:val="001B46F3"/>
    <w:rsid w:val="001B4A1B"/>
    <w:rsid w:val="001B4F10"/>
    <w:rsid w:val="001B527B"/>
    <w:rsid w:val="001B53CC"/>
    <w:rsid w:val="001B5544"/>
    <w:rsid w:val="001B5CD4"/>
    <w:rsid w:val="001B5CF9"/>
    <w:rsid w:val="001B720F"/>
    <w:rsid w:val="001B7498"/>
    <w:rsid w:val="001C0479"/>
    <w:rsid w:val="001C0C3C"/>
    <w:rsid w:val="001C0F8E"/>
    <w:rsid w:val="001C286B"/>
    <w:rsid w:val="001C2A8D"/>
    <w:rsid w:val="001C3EAB"/>
    <w:rsid w:val="001C4A20"/>
    <w:rsid w:val="001C5465"/>
    <w:rsid w:val="001C584B"/>
    <w:rsid w:val="001C5B46"/>
    <w:rsid w:val="001C6781"/>
    <w:rsid w:val="001C6D3B"/>
    <w:rsid w:val="001C71C3"/>
    <w:rsid w:val="001C7BD4"/>
    <w:rsid w:val="001D0004"/>
    <w:rsid w:val="001D02AE"/>
    <w:rsid w:val="001D034D"/>
    <w:rsid w:val="001D0705"/>
    <w:rsid w:val="001D0CDF"/>
    <w:rsid w:val="001D0CEC"/>
    <w:rsid w:val="001D331E"/>
    <w:rsid w:val="001D3F37"/>
    <w:rsid w:val="001D47C9"/>
    <w:rsid w:val="001D4992"/>
    <w:rsid w:val="001D52EA"/>
    <w:rsid w:val="001D5CEC"/>
    <w:rsid w:val="001D6F32"/>
    <w:rsid w:val="001D7F2C"/>
    <w:rsid w:val="001E0509"/>
    <w:rsid w:val="001E0708"/>
    <w:rsid w:val="001E0F15"/>
    <w:rsid w:val="001E10A3"/>
    <w:rsid w:val="001E10C6"/>
    <w:rsid w:val="001E212E"/>
    <w:rsid w:val="001E2BBC"/>
    <w:rsid w:val="001E33BC"/>
    <w:rsid w:val="001E42E4"/>
    <w:rsid w:val="001E439E"/>
    <w:rsid w:val="001E449C"/>
    <w:rsid w:val="001E4FA9"/>
    <w:rsid w:val="001E6050"/>
    <w:rsid w:val="001E6648"/>
    <w:rsid w:val="001E67D4"/>
    <w:rsid w:val="001E6CC7"/>
    <w:rsid w:val="001E705E"/>
    <w:rsid w:val="001E7153"/>
    <w:rsid w:val="001E75BD"/>
    <w:rsid w:val="001E7622"/>
    <w:rsid w:val="001E76C6"/>
    <w:rsid w:val="001F0142"/>
    <w:rsid w:val="001F01DF"/>
    <w:rsid w:val="001F0521"/>
    <w:rsid w:val="001F0DC5"/>
    <w:rsid w:val="001F0E11"/>
    <w:rsid w:val="001F0FF7"/>
    <w:rsid w:val="001F1793"/>
    <w:rsid w:val="001F1F88"/>
    <w:rsid w:val="001F2245"/>
    <w:rsid w:val="001F2E86"/>
    <w:rsid w:val="001F386F"/>
    <w:rsid w:val="001F4A11"/>
    <w:rsid w:val="001F4D98"/>
    <w:rsid w:val="001F59BB"/>
    <w:rsid w:val="001F5A02"/>
    <w:rsid w:val="001F6761"/>
    <w:rsid w:val="001F68EA"/>
    <w:rsid w:val="001F69A8"/>
    <w:rsid w:val="001F6FE3"/>
    <w:rsid w:val="001F70E5"/>
    <w:rsid w:val="001F739F"/>
    <w:rsid w:val="002000B8"/>
    <w:rsid w:val="00200515"/>
    <w:rsid w:val="002008C1"/>
    <w:rsid w:val="00200901"/>
    <w:rsid w:val="00200B5B"/>
    <w:rsid w:val="0020119F"/>
    <w:rsid w:val="00201466"/>
    <w:rsid w:val="00201BEF"/>
    <w:rsid w:val="002036A4"/>
    <w:rsid w:val="0020480C"/>
    <w:rsid w:val="00204EEA"/>
    <w:rsid w:val="0020521E"/>
    <w:rsid w:val="0020544C"/>
    <w:rsid w:val="00205DEB"/>
    <w:rsid w:val="002060A7"/>
    <w:rsid w:val="002060D1"/>
    <w:rsid w:val="002062E5"/>
    <w:rsid w:val="002071FD"/>
    <w:rsid w:val="002073AD"/>
    <w:rsid w:val="00207A1E"/>
    <w:rsid w:val="00210062"/>
    <w:rsid w:val="0021071A"/>
    <w:rsid w:val="002117E4"/>
    <w:rsid w:val="002121EE"/>
    <w:rsid w:val="00212B12"/>
    <w:rsid w:val="0021314F"/>
    <w:rsid w:val="00213EB7"/>
    <w:rsid w:val="00214129"/>
    <w:rsid w:val="002152D1"/>
    <w:rsid w:val="002163B5"/>
    <w:rsid w:val="00217534"/>
    <w:rsid w:val="002179DE"/>
    <w:rsid w:val="00220C15"/>
    <w:rsid w:val="00220DF7"/>
    <w:rsid w:val="00220FCE"/>
    <w:rsid w:val="002210FF"/>
    <w:rsid w:val="00221203"/>
    <w:rsid w:val="00221340"/>
    <w:rsid w:val="00221513"/>
    <w:rsid w:val="00221841"/>
    <w:rsid w:val="00222349"/>
    <w:rsid w:val="00222464"/>
    <w:rsid w:val="002227BE"/>
    <w:rsid w:val="00222AC9"/>
    <w:rsid w:val="00222B72"/>
    <w:rsid w:val="00222FFE"/>
    <w:rsid w:val="002231E1"/>
    <w:rsid w:val="002235A1"/>
    <w:rsid w:val="002235D8"/>
    <w:rsid w:val="00223D30"/>
    <w:rsid w:val="002249D0"/>
    <w:rsid w:val="002255FD"/>
    <w:rsid w:val="0022561C"/>
    <w:rsid w:val="00225A47"/>
    <w:rsid w:val="00226080"/>
    <w:rsid w:val="00226205"/>
    <w:rsid w:val="00226865"/>
    <w:rsid w:val="002269C7"/>
    <w:rsid w:val="00227055"/>
    <w:rsid w:val="0023115C"/>
    <w:rsid w:val="00231A26"/>
    <w:rsid w:val="00231BF6"/>
    <w:rsid w:val="00232907"/>
    <w:rsid w:val="002334DE"/>
    <w:rsid w:val="00233672"/>
    <w:rsid w:val="00233968"/>
    <w:rsid w:val="00233D52"/>
    <w:rsid w:val="0023450F"/>
    <w:rsid w:val="002346DA"/>
    <w:rsid w:val="002347D0"/>
    <w:rsid w:val="00234BD2"/>
    <w:rsid w:val="00235306"/>
    <w:rsid w:val="0023574C"/>
    <w:rsid w:val="00236130"/>
    <w:rsid w:val="00236574"/>
    <w:rsid w:val="00236BFF"/>
    <w:rsid w:val="00236F6F"/>
    <w:rsid w:val="0023791F"/>
    <w:rsid w:val="00237AA8"/>
    <w:rsid w:val="00237AB8"/>
    <w:rsid w:val="00237E01"/>
    <w:rsid w:val="00237FCC"/>
    <w:rsid w:val="0024010D"/>
    <w:rsid w:val="002403CF"/>
    <w:rsid w:val="00240A03"/>
    <w:rsid w:val="00240E02"/>
    <w:rsid w:val="0024185F"/>
    <w:rsid w:val="00241959"/>
    <w:rsid w:val="00242E7A"/>
    <w:rsid w:val="002432A3"/>
    <w:rsid w:val="002435E7"/>
    <w:rsid w:val="00243A2A"/>
    <w:rsid w:val="00243E10"/>
    <w:rsid w:val="00243EC3"/>
    <w:rsid w:val="00243F5F"/>
    <w:rsid w:val="00244921"/>
    <w:rsid w:val="00244DF6"/>
    <w:rsid w:val="00245C66"/>
    <w:rsid w:val="00246512"/>
    <w:rsid w:val="00246B13"/>
    <w:rsid w:val="002475DB"/>
    <w:rsid w:val="00247C18"/>
    <w:rsid w:val="002500E9"/>
    <w:rsid w:val="00251173"/>
    <w:rsid w:val="002518EA"/>
    <w:rsid w:val="0025193C"/>
    <w:rsid w:val="00251F00"/>
    <w:rsid w:val="00252DC4"/>
    <w:rsid w:val="0025364F"/>
    <w:rsid w:val="00253B23"/>
    <w:rsid w:val="00253DCA"/>
    <w:rsid w:val="002545F9"/>
    <w:rsid w:val="00254B37"/>
    <w:rsid w:val="00254C56"/>
    <w:rsid w:val="002555BE"/>
    <w:rsid w:val="002557B6"/>
    <w:rsid w:val="00256298"/>
    <w:rsid w:val="00256ADA"/>
    <w:rsid w:val="002570E6"/>
    <w:rsid w:val="0025740B"/>
    <w:rsid w:val="0025794C"/>
    <w:rsid w:val="00257E70"/>
    <w:rsid w:val="00260448"/>
    <w:rsid w:val="00261E05"/>
    <w:rsid w:val="002623A4"/>
    <w:rsid w:val="00262810"/>
    <w:rsid w:val="00262ADD"/>
    <w:rsid w:val="00262C77"/>
    <w:rsid w:val="002632D4"/>
    <w:rsid w:val="0026395A"/>
    <w:rsid w:val="00264348"/>
    <w:rsid w:val="002649F4"/>
    <w:rsid w:val="00265099"/>
    <w:rsid w:val="002658F4"/>
    <w:rsid w:val="002661E6"/>
    <w:rsid w:val="002665DF"/>
    <w:rsid w:val="00267237"/>
    <w:rsid w:val="002675C6"/>
    <w:rsid w:val="00267976"/>
    <w:rsid w:val="00271143"/>
    <w:rsid w:val="00271ABF"/>
    <w:rsid w:val="00271EAA"/>
    <w:rsid w:val="00272ED1"/>
    <w:rsid w:val="0027319C"/>
    <w:rsid w:val="00273969"/>
    <w:rsid w:val="00273DA3"/>
    <w:rsid w:val="0027449F"/>
    <w:rsid w:val="002747F9"/>
    <w:rsid w:val="00274B38"/>
    <w:rsid w:val="00275360"/>
    <w:rsid w:val="00275891"/>
    <w:rsid w:val="0027594D"/>
    <w:rsid w:val="00275CBF"/>
    <w:rsid w:val="00276064"/>
    <w:rsid w:val="002763E0"/>
    <w:rsid w:val="002765B3"/>
    <w:rsid w:val="00276941"/>
    <w:rsid w:val="00276F14"/>
    <w:rsid w:val="00277203"/>
    <w:rsid w:val="00277BB4"/>
    <w:rsid w:val="002803DD"/>
    <w:rsid w:val="0028063C"/>
    <w:rsid w:val="00280B62"/>
    <w:rsid w:val="002816EE"/>
    <w:rsid w:val="00282121"/>
    <w:rsid w:val="00282393"/>
    <w:rsid w:val="0028246E"/>
    <w:rsid w:val="00282933"/>
    <w:rsid w:val="00283571"/>
    <w:rsid w:val="0028392E"/>
    <w:rsid w:val="00283BC8"/>
    <w:rsid w:val="00283CAB"/>
    <w:rsid w:val="002843F2"/>
    <w:rsid w:val="00284574"/>
    <w:rsid w:val="0028500F"/>
    <w:rsid w:val="00285A5C"/>
    <w:rsid w:val="00285D46"/>
    <w:rsid w:val="002862BE"/>
    <w:rsid w:val="00286BB1"/>
    <w:rsid w:val="002871E9"/>
    <w:rsid w:val="0028788C"/>
    <w:rsid w:val="002900E9"/>
    <w:rsid w:val="00290920"/>
    <w:rsid w:val="0029182C"/>
    <w:rsid w:val="00291980"/>
    <w:rsid w:val="00291996"/>
    <w:rsid w:val="00292227"/>
    <w:rsid w:val="0029329E"/>
    <w:rsid w:val="00293FBA"/>
    <w:rsid w:val="002949AB"/>
    <w:rsid w:val="00294C6F"/>
    <w:rsid w:val="0029513E"/>
    <w:rsid w:val="002951B5"/>
    <w:rsid w:val="002953AB"/>
    <w:rsid w:val="002959C3"/>
    <w:rsid w:val="00295B5C"/>
    <w:rsid w:val="002967D4"/>
    <w:rsid w:val="002968FC"/>
    <w:rsid w:val="00297146"/>
    <w:rsid w:val="00297792"/>
    <w:rsid w:val="00297EB6"/>
    <w:rsid w:val="002A086D"/>
    <w:rsid w:val="002A1B35"/>
    <w:rsid w:val="002A2F28"/>
    <w:rsid w:val="002A2F85"/>
    <w:rsid w:val="002A321F"/>
    <w:rsid w:val="002A3881"/>
    <w:rsid w:val="002A4AEC"/>
    <w:rsid w:val="002A5421"/>
    <w:rsid w:val="002A56AA"/>
    <w:rsid w:val="002A580D"/>
    <w:rsid w:val="002A5A6F"/>
    <w:rsid w:val="002A5B4C"/>
    <w:rsid w:val="002A5DE2"/>
    <w:rsid w:val="002A62D8"/>
    <w:rsid w:val="002A65F1"/>
    <w:rsid w:val="002A700B"/>
    <w:rsid w:val="002A7AF7"/>
    <w:rsid w:val="002A7BE7"/>
    <w:rsid w:val="002A7DE5"/>
    <w:rsid w:val="002B114B"/>
    <w:rsid w:val="002B148E"/>
    <w:rsid w:val="002B27B3"/>
    <w:rsid w:val="002B285D"/>
    <w:rsid w:val="002B32C8"/>
    <w:rsid w:val="002B3F43"/>
    <w:rsid w:val="002B42C0"/>
    <w:rsid w:val="002B451D"/>
    <w:rsid w:val="002B4778"/>
    <w:rsid w:val="002B4BD8"/>
    <w:rsid w:val="002B6314"/>
    <w:rsid w:val="002B6819"/>
    <w:rsid w:val="002B6B2E"/>
    <w:rsid w:val="002B6EBB"/>
    <w:rsid w:val="002B74DC"/>
    <w:rsid w:val="002B7690"/>
    <w:rsid w:val="002B7B56"/>
    <w:rsid w:val="002C00EB"/>
    <w:rsid w:val="002C05C3"/>
    <w:rsid w:val="002C1319"/>
    <w:rsid w:val="002C19D1"/>
    <w:rsid w:val="002C2A9B"/>
    <w:rsid w:val="002C38CC"/>
    <w:rsid w:val="002C4599"/>
    <w:rsid w:val="002C4948"/>
    <w:rsid w:val="002C4C7C"/>
    <w:rsid w:val="002C5D82"/>
    <w:rsid w:val="002C6E3C"/>
    <w:rsid w:val="002C745F"/>
    <w:rsid w:val="002C79AB"/>
    <w:rsid w:val="002D00E1"/>
    <w:rsid w:val="002D01F3"/>
    <w:rsid w:val="002D021A"/>
    <w:rsid w:val="002D0254"/>
    <w:rsid w:val="002D0D89"/>
    <w:rsid w:val="002D2A67"/>
    <w:rsid w:val="002D2D48"/>
    <w:rsid w:val="002D308A"/>
    <w:rsid w:val="002D3736"/>
    <w:rsid w:val="002D37DE"/>
    <w:rsid w:val="002D4856"/>
    <w:rsid w:val="002D4A19"/>
    <w:rsid w:val="002D5062"/>
    <w:rsid w:val="002D55BC"/>
    <w:rsid w:val="002D590C"/>
    <w:rsid w:val="002D6252"/>
    <w:rsid w:val="002D6264"/>
    <w:rsid w:val="002D64AF"/>
    <w:rsid w:val="002D6B66"/>
    <w:rsid w:val="002D7609"/>
    <w:rsid w:val="002D7D15"/>
    <w:rsid w:val="002E04CD"/>
    <w:rsid w:val="002E07A6"/>
    <w:rsid w:val="002E1256"/>
    <w:rsid w:val="002E1F45"/>
    <w:rsid w:val="002E2ACC"/>
    <w:rsid w:val="002E2B7A"/>
    <w:rsid w:val="002E2C3E"/>
    <w:rsid w:val="002E2D19"/>
    <w:rsid w:val="002E2D4D"/>
    <w:rsid w:val="002E3CB8"/>
    <w:rsid w:val="002E5383"/>
    <w:rsid w:val="002E58ED"/>
    <w:rsid w:val="002E5BD9"/>
    <w:rsid w:val="002E72EC"/>
    <w:rsid w:val="002F0771"/>
    <w:rsid w:val="002F23C3"/>
    <w:rsid w:val="002F3202"/>
    <w:rsid w:val="002F358F"/>
    <w:rsid w:val="002F3C76"/>
    <w:rsid w:val="002F3D2E"/>
    <w:rsid w:val="002F3FB9"/>
    <w:rsid w:val="002F5C6D"/>
    <w:rsid w:val="002F5ED4"/>
    <w:rsid w:val="002F6CE1"/>
    <w:rsid w:val="002F7293"/>
    <w:rsid w:val="003004F1"/>
    <w:rsid w:val="003005DA"/>
    <w:rsid w:val="00300944"/>
    <w:rsid w:val="003009F5"/>
    <w:rsid w:val="0030132A"/>
    <w:rsid w:val="00301F14"/>
    <w:rsid w:val="00301F74"/>
    <w:rsid w:val="00302DE4"/>
    <w:rsid w:val="00302FBD"/>
    <w:rsid w:val="0030303C"/>
    <w:rsid w:val="00303F4B"/>
    <w:rsid w:val="00303F8A"/>
    <w:rsid w:val="00304193"/>
    <w:rsid w:val="003042CB"/>
    <w:rsid w:val="00304F6D"/>
    <w:rsid w:val="00307820"/>
    <w:rsid w:val="003100B7"/>
    <w:rsid w:val="0031020C"/>
    <w:rsid w:val="003104FF"/>
    <w:rsid w:val="00310DCE"/>
    <w:rsid w:val="00311024"/>
    <w:rsid w:val="00311B0D"/>
    <w:rsid w:val="00311FEB"/>
    <w:rsid w:val="003121D8"/>
    <w:rsid w:val="003122B1"/>
    <w:rsid w:val="003122C8"/>
    <w:rsid w:val="003129BD"/>
    <w:rsid w:val="003132E7"/>
    <w:rsid w:val="00313EBB"/>
    <w:rsid w:val="00314598"/>
    <w:rsid w:val="003145A4"/>
    <w:rsid w:val="00314870"/>
    <w:rsid w:val="003149F3"/>
    <w:rsid w:val="00314B21"/>
    <w:rsid w:val="0031545A"/>
    <w:rsid w:val="00315B4B"/>
    <w:rsid w:val="00316151"/>
    <w:rsid w:val="0031694D"/>
    <w:rsid w:val="00317475"/>
    <w:rsid w:val="00320F8F"/>
    <w:rsid w:val="003213A2"/>
    <w:rsid w:val="00322C50"/>
    <w:rsid w:val="00323013"/>
    <w:rsid w:val="00323314"/>
    <w:rsid w:val="0032453C"/>
    <w:rsid w:val="00324E25"/>
    <w:rsid w:val="00324E42"/>
    <w:rsid w:val="003253B8"/>
    <w:rsid w:val="00325685"/>
    <w:rsid w:val="00325B66"/>
    <w:rsid w:val="00327019"/>
    <w:rsid w:val="00327C5F"/>
    <w:rsid w:val="003312CE"/>
    <w:rsid w:val="00331478"/>
    <w:rsid w:val="00331A8B"/>
    <w:rsid w:val="00331AD6"/>
    <w:rsid w:val="003321A5"/>
    <w:rsid w:val="003321CE"/>
    <w:rsid w:val="00332B26"/>
    <w:rsid w:val="00332D94"/>
    <w:rsid w:val="00332E87"/>
    <w:rsid w:val="003333E9"/>
    <w:rsid w:val="00333FD4"/>
    <w:rsid w:val="00334555"/>
    <w:rsid w:val="003347A6"/>
    <w:rsid w:val="00334D02"/>
    <w:rsid w:val="003356F5"/>
    <w:rsid w:val="0033573D"/>
    <w:rsid w:val="003363A7"/>
    <w:rsid w:val="003366BE"/>
    <w:rsid w:val="003367BB"/>
    <w:rsid w:val="003374AE"/>
    <w:rsid w:val="00337AF8"/>
    <w:rsid w:val="00340177"/>
    <w:rsid w:val="003401BA"/>
    <w:rsid w:val="00340592"/>
    <w:rsid w:val="00341145"/>
    <w:rsid w:val="00341444"/>
    <w:rsid w:val="003416B4"/>
    <w:rsid w:val="003416F3"/>
    <w:rsid w:val="00341884"/>
    <w:rsid w:val="00342326"/>
    <w:rsid w:val="0034248D"/>
    <w:rsid w:val="00343465"/>
    <w:rsid w:val="003442AF"/>
    <w:rsid w:val="003443FB"/>
    <w:rsid w:val="00344836"/>
    <w:rsid w:val="00344C62"/>
    <w:rsid w:val="0034500F"/>
    <w:rsid w:val="00345116"/>
    <w:rsid w:val="00345BF8"/>
    <w:rsid w:val="003460F4"/>
    <w:rsid w:val="00346C4E"/>
    <w:rsid w:val="00347A62"/>
    <w:rsid w:val="00350725"/>
    <w:rsid w:val="003508D1"/>
    <w:rsid w:val="00350907"/>
    <w:rsid w:val="00351590"/>
    <w:rsid w:val="003517C7"/>
    <w:rsid w:val="00351D79"/>
    <w:rsid w:val="00351D8B"/>
    <w:rsid w:val="00352573"/>
    <w:rsid w:val="00352667"/>
    <w:rsid w:val="00352DFC"/>
    <w:rsid w:val="00352E28"/>
    <w:rsid w:val="0035406A"/>
    <w:rsid w:val="003549AE"/>
    <w:rsid w:val="003556F7"/>
    <w:rsid w:val="003566DB"/>
    <w:rsid w:val="00357B08"/>
    <w:rsid w:val="00360326"/>
    <w:rsid w:val="00360542"/>
    <w:rsid w:val="00360C94"/>
    <w:rsid w:val="00360F01"/>
    <w:rsid w:val="00361022"/>
    <w:rsid w:val="00361050"/>
    <w:rsid w:val="00361A57"/>
    <w:rsid w:val="003628FC"/>
    <w:rsid w:val="003629B6"/>
    <w:rsid w:val="00362B72"/>
    <w:rsid w:val="0036301A"/>
    <w:rsid w:val="00363029"/>
    <w:rsid w:val="003639A9"/>
    <w:rsid w:val="00363E05"/>
    <w:rsid w:val="00364206"/>
    <w:rsid w:val="00365595"/>
    <w:rsid w:val="0036564D"/>
    <w:rsid w:val="00365B6F"/>
    <w:rsid w:val="00365EC2"/>
    <w:rsid w:val="003661B0"/>
    <w:rsid w:val="003664D7"/>
    <w:rsid w:val="003675C7"/>
    <w:rsid w:val="0036794C"/>
    <w:rsid w:val="003703BD"/>
    <w:rsid w:val="00370BBD"/>
    <w:rsid w:val="00371201"/>
    <w:rsid w:val="00372D43"/>
    <w:rsid w:val="00373097"/>
    <w:rsid w:val="00374360"/>
    <w:rsid w:val="00374461"/>
    <w:rsid w:val="0037509F"/>
    <w:rsid w:val="00375A44"/>
    <w:rsid w:val="00375B40"/>
    <w:rsid w:val="00375C7D"/>
    <w:rsid w:val="00376484"/>
    <w:rsid w:val="00376B34"/>
    <w:rsid w:val="00376F87"/>
    <w:rsid w:val="00377B1D"/>
    <w:rsid w:val="00377DE9"/>
    <w:rsid w:val="0038088A"/>
    <w:rsid w:val="00380CFE"/>
    <w:rsid w:val="00380F11"/>
    <w:rsid w:val="00381720"/>
    <w:rsid w:val="00381DA5"/>
    <w:rsid w:val="00382691"/>
    <w:rsid w:val="00382C64"/>
    <w:rsid w:val="00384053"/>
    <w:rsid w:val="00384089"/>
    <w:rsid w:val="00384966"/>
    <w:rsid w:val="003858C5"/>
    <w:rsid w:val="00385BE6"/>
    <w:rsid w:val="00385EAE"/>
    <w:rsid w:val="003866E4"/>
    <w:rsid w:val="00386B1C"/>
    <w:rsid w:val="0038705F"/>
    <w:rsid w:val="00387D8E"/>
    <w:rsid w:val="003900D4"/>
    <w:rsid w:val="003903FF"/>
    <w:rsid w:val="00390F08"/>
    <w:rsid w:val="00390F5D"/>
    <w:rsid w:val="00391519"/>
    <w:rsid w:val="00391795"/>
    <w:rsid w:val="00391AE6"/>
    <w:rsid w:val="00391C8A"/>
    <w:rsid w:val="00391E01"/>
    <w:rsid w:val="003924B2"/>
    <w:rsid w:val="0039347D"/>
    <w:rsid w:val="003937A0"/>
    <w:rsid w:val="00393BC9"/>
    <w:rsid w:val="00393D7E"/>
    <w:rsid w:val="003943F1"/>
    <w:rsid w:val="00394775"/>
    <w:rsid w:val="00394C87"/>
    <w:rsid w:val="00395DA8"/>
    <w:rsid w:val="00396148"/>
    <w:rsid w:val="00396DB9"/>
    <w:rsid w:val="00396F87"/>
    <w:rsid w:val="003971EA"/>
    <w:rsid w:val="003972B9"/>
    <w:rsid w:val="003972F1"/>
    <w:rsid w:val="00397AD4"/>
    <w:rsid w:val="003A0574"/>
    <w:rsid w:val="003A086F"/>
    <w:rsid w:val="003A0C0F"/>
    <w:rsid w:val="003A0EDA"/>
    <w:rsid w:val="003A17F0"/>
    <w:rsid w:val="003A2CFC"/>
    <w:rsid w:val="003A2E14"/>
    <w:rsid w:val="003A3348"/>
    <w:rsid w:val="003A40BD"/>
    <w:rsid w:val="003A4361"/>
    <w:rsid w:val="003A4BC9"/>
    <w:rsid w:val="003A5858"/>
    <w:rsid w:val="003A60F7"/>
    <w:rsid w:val="003A631A"/>
    <w:rsid w:val="003A6683"/>
    <w:rsid w:val="003A7B22"/>
    <w:rsid w:val="003B0CB0"/>
    <w:rsid w:val="003B0F1A"/>
    <w:rsid w:val="003B2166"/>
    <w:rsid w:val="003B2223"/>
    <w:rsid w:val="003B2263"/>
    <w:rsid w:val="003B250C"/>
    <w:rsid w:val="003B3229"/>
    <w:rsid w:val="003B4174"/>
    <w:rsid w:val="003B420D"/>
    <w:rsid w:val="003B4865"/>
    <w:rsid w:val="003B5993"/>
    <w:rsid w:val="003B6357"/>
    <w:rsid w:val="003B742F"/>
    <w:rsid w:val="003B74DC"/>
    <w:rsid w:val="003B75F7"/>
    <w:rsid w:val="003C01BF"/>
    <w:rsid w:val="003C051A"/>
    <w:rsid w:val="003C09E0"/>
    <w:rsid w:val="003C10CA"/>
    <w:rsid w:val="003C16BC"/>
    <w:rsid w:val="003C1903"/>
    <w:rsid w:val="003C21CE"/>
    <w:rsid w:val="003C245F"/>
    <w:rsid w:val="003C2817"/>
    <w:rsid w:val="003C28A2"/>
    <w:rsid w:val="003C290F"/>
    <w:rsid w:val="003C3968"/>
    <w:rsid w:val="003C40BE"/>
    <w:rsid w:val="003C5501"/>
    <w:rsid w:val="003C5778"/>
    <w:rsid w:val="003C6629"/>
    <w:rsid w:val="003C66D4"/>
    <w:rsid w:val="003D0333"/>
    <w:rsid w:val="003D0614"/>
    <w:rsid w:val="003D09E6"/>
    <w:rsid w:val="003D0E30"/>
    <w:rsid w:val="003D122C"/>
    <w:rsid w:val="003D137B"/>
    <w:rsid w:val="003D170E"/>
    <w:rsid w:val="003D1A6C"/>
    <w:rsid w:val="003D356E"/>
    <w:rsid w:val="003D4067"/>
    <w:rsid w:val="003D4181"/>
    <w:rsid w:val="003D4C2A"/>
    <w:rsid w:val="003D52B9"/>
    <w:rsid w:val="003D555C"/>
    <w:rsid w:val="003D5739"/>
    <w:rsid w:val="003D5905"/>
    <w:rsid w:val="003D5AE5"/>
    <w:rsid w:val="003D6471"/>
    <w:rsid w:val="003D65B1"/>
    <w:rsid w:val="003D6797"/>
    <w:rsid w:val="003D6F87"/>
    <w:rsid w:val="003D7220"/>
    <w:rsid w:val="003E0D0C"/>
    <w:rsid w:val="003E0EB8"/>
    <w:rsid w:val="003E21B6"/>
    <w:rsid w:val="003E28C8"/>
    <w:rsid w:val="003E2B73"/>
    <w:rsid w:val="003E2B80"/>
    <w:rsid w:val="003E4289"/>
    <w:rsid w:val="003E4316"/>
    <w:rsid w:val="003E49B1"/>
    <w:rsid w:val="003E4A45"/>
    <w:rsid w:val="003E4E15"/>
    <w:rsid w:val="003E4F09"/>
    <w:rsid w:val="003E5770"/>
    <w:rsid w:val="003E5C69"/>
    <w:rsid w:val="003E607B"/>
    <w:rsid w:val="003E642A"/>
    <w:rsid w:val="003E7A5A"/>
    <w:rsid w:val="003F0735"/>
    <w:rsid w:val="003F11F8"/>
    <w:rsid w:val="003F1426"/>
    <w:rsid w:val="003F25A2"/>
    <w:rsid w:val="003F2693"/>
    <w:rsid w:val="003F2F46"/>
    <w:rsid w:val="003F3326"/>
    <w:rsid w:val="003F38E2"/>
    <w:rsid w:val="003F4140"/>
    <w:rsid w:val="003F45EA"/>
    <w:rsid w:val="003F492E"/>
    <w:rsid w:val="003F49D3"/>
    <w:rsid w:val="003F6971"/>
    <w:rsid w:val="003F719D"/>
    <w:rsid w:val="003F7A84"/>
    <w:rsid w:val="003F7AEB"/>
    <w:rsid w:val="00401406"/>
    <w:rsid w:val="00401B2B"/>
    <w:rsid w:val="00401D33"/>
    <w:rsid w:val="00401EC5"/>
    <w:rsid w:val="004020F3"/>
    <w:rsid w:val="004035A7"/>
    <w:rsid w:val="0040380E"/>
    <w:rsid w:val="004042A4"/>
    <w:rsid w:val="00404F1E"/>
    <w:rsid w:val="00405639"/>
    <w:rsid w:val="004058F6"/>
    <w:rsid w:val="00406223"/>
    <w:rsid w:val="00406BE7"/>
    <w:rsid w:val="00407010"/>
    <w:rsid w:val="00407773"/>
    <w:rsid w:val="00407C6F"/>
    <w:rsid w:val="004102F9"/>
    <w:rsid w:val="004111A8"/>
    <w:rsid w:val="004118E4"/>
    <w:rsid w:val="00411FFD"/>
    <w:rsid w:val="0041338B"/>
    <w:rsid w:val="0041362C"/>
    <w:rsid w:val="0041380D"/>
    <w:rsid w:val="004141CF"/>
    <w:rsid w:val="00414358"/>
    <w:rsid w:val="0041493C"/>
    <w:rsid w:val="0041518C"/>
    <w:rsid w:val="00415CB0"/>
    <w:rsid w:val="00415EEA"/>
    <w:rsid w:val="00415FA4"/>
    <w:rsid w:val="00417547"/>
    <w:rsid w:val="004176F6"/>
    <w:rsid w:val="00420724"/>
    <w:rsid w:val="00420E2D"/>
    <w:rsid w:val="0042236F"/>
    <w:rsid w:val="00422D40"/>
    <w:rsid w:val="00423241"/>
    <w:rsid w:val="00423A85"/>
    <w:rsid w:val="00423D0B"/>
    <w:rsid w:val="00424EB0"/>
    <w:rsid w:val="004252AE"/>
    <w:rsid w:val="004252F0"/>
    <w:rsid w:val="00425E24"/>
    <w:rsid w:val="00425E6F"/>
    <w:rsid w:val="00425F17"/>
    <w:rsid w:val="00426113"/>
    <w:rsid w:val="0042636F"/>
    <w:rsid w:val="00426601"/>
    <w:rsid w:val="0042670A"/>
    <w:rsid w:val="00426736"/>
    <w:rsid w:val="00426F3D"/>
    <w:rsid w:val="00427A5E"/>
    <w:rsid w:val="00427F43"/>
    <w:rsid w:val="00430415"/>
    <w:rsid w:val="0043126B"/>
    <w:rsid w:val="00431665"/>
    <w:rsid w:val="00431883"/>
    <w:rsid w:val="0043191C"/>
    <w:rsid w:val="0043249E"/>
    <w:rsid w:val="00432A19"/>
    <w:rsid w:val="00432F3A"/>
    <w:rsid w:val="00433022"/>
    <w:rsid w:val="00433167"/>
    <w:rsid w:val="00433774"/>
    <w:rsid w:val="004345F5"/>
    <w:rsid w:val="00434688"/>
    <w:rsid w:val="00434C51"/>
    <w:rsid w:val="004355CD"/>
    <w:rsid w:val="0043658C"/>
    <w:rsid w:val="0043682A"/>
    <w:rsid w:val="00436956"/>
    <w:rsid w:val="00436AD1"/>
    <w:rsid w:val="00436DEB"/>
    <w:rsid w:val="0043755A"/>
    <w:rsid w:val="00437E6B"/>
    <w:rsid w:val="004406E6"/>
    <w:rsid w:val="00440FC6"/>
    <w:rsid w:val="0044196F"/>
    <w:rsid w:val="00441BE2"/>
    <w:rsid w:val="00441D18"/>
    <w:rsid w:val="004421F6"/>
    <w:rsid w:val="00442B28"/>
    <w:rsid w:val="00442E8F"/>
    <w:rsid w:val="004431C3"/>
    <w:rsid w:val="004436FA"/>
    <w:rsid w:val="00443718"/>
    <w:rsid w:val="00443DB1"/>
    <w:rsid w:val="0044442B"/>
    <w:rsid w:val="00444A7E"/>
    <w:rsid w:val="00444EBB"/>
    <w:rsid w:val="00445419"/>
    <w:rsid w:val="00445821"/>
    <w:rsid w:val="00446E02"/>
    <w:rsid w:val="00446E3A"/>
    <w:rsid w:val="00447283"/>
    <w:rsid w:val="00447CE2"/>
    <w:rsid w:val="00447E2B"/>
    <w:rsid w:val="00450266"/>
    <w:rsid w:val="0045074B"/>
    <w:rsid w:val="0045165E"/>
    <w:rsid w:val="0045197B"/>
    <w:rsid w:val="00451BEB"/>
    <w:rsid w:val="004528C0"/>
    <w:rsid w:val="00452A8F"/>
    <w:rsid w:val="00452D43"/>
    <w:rsid w:val="0045324C"/>
    <w:rsid w:val="004536DA"/>
    <w:rsid w:val="004546B9"/>
    <w:rsid w:val="00454D63"/>
    <w:rsid w:val="004553B1"/>
    <w:rsid w:val="00455AA2"/>
    <w:rsid w:val="00455EDD"/>
    <w:rsid w:val="00456234"/>
    <w:rsid w:val="00456A00"/>
    <w:rsid w:val="00456EFF"/>
    <w:rsid w:val="004570A6"/>
    <w:rsid w:val="00457102"/>
    <w:rsid w:val="004577B6"/>
    <w:rsid w:val="00457F58"/>
    <w:rsid w:val="00460322"/>
    <w:rsid w:val="00460ABA"/>
    <w:rsid w:val="004615EF"/>
    <w:rsid w:val="0046182E"/>
    <w:rsid w:val="00461DAE"/>
    <w:rsid w:val="00461F7D"/>
    <w:rsid w:val="00462975"/>
    <w:rsid w:val="00462A00"/>
    <w:rsid w:val="00462A92"/>
    <w:rsid w:val="004630AF"/>
    <w:rsid w:val="0046324D"/>
    <w:rsid w:val="0046373A"/>
    <w:rsid w:val="00463FFD"/>
    <w:rsid w:val="00464412"/>
    <w:rsid w:val="00464F12"/>
    <w:rsid w:val="0046542C"/>
    <w:rsid w:val="00465AF2"/>
    <w:rsid w:val="00465C82"/>
    <w:rsid w:val="00466211"/>
    <w:rsid w:val="00466B16"/>
    <w:rsid w:val="00467380"/>
    <w:rsid w:val="004679A5"/>
    <w:rsid w:val="00467B95"/>
    <w:rsid w:val="00467C2C"/>
    <w:rsid w:val="00470860"/>
    <w:rsid w:val="004717FB"/>
    <w:rsid w:val="004718C5"/>
    <w:rsid w:val="00472114"/>
    <w:rsid w:val="0047298C"/>
    <w:rsid w:val="00473161"/>
    <w:rsid w:val="00473F56"/>
    <w:rsid w:val="0047416E"/>
    <w:rsid w:val="00474272"/>
    <w:rsid w:val="004749DD"/>
    <w:rsid w:val="00474C8A"/>
    <w:rsid w:val="0047509F"/>
    <w:rsid w:val="00475D88"/>
    <w:rsid w:val="004764BA"/>
    <w:rsid w:val="00476844"/>
    <w:rsid w:val="004768F9"/>
    <w:rsid w:val="00476EA0"/>
    <w:rsid w:val="00480691"/>
    <w:rsid w:val="00480B66"/>
    <w:rsid w:val="00480DAB"/>
    <w:rsid w:val="00480F88"/>
    <w:rsid w:val="00481658"/>
    <w:rsid w:val="00481909"/>
    <w:rsid w:val="00481C00"/>
    <w:rsid w:val="004824DB"/>
    <w:rsid w:val="004824F0"/>
    <w:rsid w:val="004825B3"/>
    <w:rsid w:val="00482C34"/>
    <w:rsid w:val="00483096"/>
    <w:rsid w:val="00483507"/>
    <w:rsid w:val="00483782"/>
    <w:rsid w:val="00483D54"/>
    <w:rsid w:val="00484E0A"/>
    <w:rsid w:val="004854C7"/>
    <w:rsid w:val="0048587E"/>
    <w:rsid w:val="00487708"/>
    <w:rsid w:val="00490522"/>
    <w:rsid w:val="00490B37"/>
    <w:rsid w:val="00490B95"/>
    <w:rsid w:val="00490CE4"/>
    <w:rsid w:val="00490EEE"/>
    <w:rsid w:val="00490F07"/>
    <w:rsid w:val="00491552"/>
    <w:rsid w:val="00491B04"/>
    <w:rsid w:val="004926FF"/>
    <w:rsid w:val="00493358"/>
    <w:rsid w:val="00493B89"/>
    <w:rsid w:val="00493C20"/>
    <w:rsid w:val="00493D39"/>
    <w:rsid w:val="00493E0C"/>
    <w:rsid w:val="00494306"/>
    <w:rsid w:val="004947EC"/>
    <w:rsid w:val="00494996"/>
    <w:rsid w:val="004949E9"/>
    <w:rsid w:val="0049550E"/>
    <w:rsid w:val="00496580"/>
    <w:rsid w:val="004969CE"/>
    <w:rsid w:val="00497F31"/>
    <w:rsid w:val="004A03F2"/>
    <w:rsid w:val="004A09D7"/>
    <w:rsid w:val="004A16DF"/>
    <w:rsid w:val="004A26C4"/>
    <w:rsid w:val="004A270F"/>
    <w:rsid w:val="004A290D"/>
    <w:rsid w:val="004A3CD5"/>
    <w:rsid w:val="004A3E16"/>
    <w:rsid w:val="004A494D"/>
    <w:rsid w:val="004A4C05"/>
    <w:rsid w:val="004A5082"/>
    <w:rsid w:val="004A5A70"/>
    <w:rsid w:val="004A5DF4"/>
    <w:rsid w:val="004A5F21"/>
    <w:rsid w:val="004A5FCB"/>
    <w:rsid w:val="004A6576"/>
    <w:rsid w:val="004A705A"/>
    <w:rsid w:val="004A773F"/>
    <w:rsid w:val="004B0160"/>
    <w:rsid w:val="004B03F5"/>
    <w:rsid w:val="004B0A34"/>
    <w:rsid w:val="004B0FB9"/>
    <w:rsid w:val="004B1142"/>
    <w:rsid w:val="004B1529"/>
    <w:rsid w:val="004B1C73"/>
    <w:rsid w:val="004B22BD"/>
    <w:rsid w:val="004B331D"/>
    <w:rsid w:val="004B34F4"/>
    <w:rsid w:val="004B3644"/>
    <w:rsid w:val="004B44B1"/>
    <w:rsid w:val="004B46F7"/>
    <w:rsid w:val="004B4711"/>
    <w:rsid w:val="004B55F5"/>
    <w:rsid w:val="004B69A5"/>
    <w:rsid w:val="004B71F6"/>
    <w:rsid w:val="004C0935"/>
    <w:rsid w:val="004C0ABF"/>
    <w:rsid w:val="004C0E67"/>
    <w:rsid w:val="004C0EDF"/>
    <w:rsid w:val="004C144A"/>
    <w:rsid w:val="004C21AC"/>
    <w:rsid w:val="004C3E58"/>
    <w:rsid w:val="004C4359"/>
    <w:rsid w:val="004C4963"/>
    <w:rsid w:val="004C5009"/>
    <w:rsid w:val="004C53B6"/>
    <w:rsid w:val="004C55AE"/>
    <w:rsid w:val="004C71A1"/>
    <w:rsid w:val="004C786F"/>
    <w:rsid w:val="004C7E01"/>
    <w:rsid w:val="004D00ED"/>
    <w:rsid w:val="004D0640"/>
    <w:rsid w:val="004D0813"/>
    <w:rsid w:val="004D1648"/>
    <w:rsid w:val="004D169C"/>
    <w:rsid w:val="004D322C"/>
    <w:rsid w:val="004D32A7"/>
    <w:rsid w:val="004D4E72"/>
    <w:rsid w:val="004D54B1"/>
    <w:rsid w:val="004D5FDC"/>
    <w:rsid w:val="004D633B"/>
    <w:rsid w:val="004D6B8A"/>
    <w:rsid w:val="004D6E88"/>
    <w:rsid w:val="004D72F8"/>
    <w:rsid w:val="004D789E"/>
    <w:rsid w:val="004D79EB"/>
    <w:rsid w:val="004E07D2"/>
    <w:rsid w:val="004E136C"/>
    <w:rsid w:val="004E1FA9"/>
    <w:rsid w:val="004E3C16"/>
    <w:rsid w:val="004E3E0E"/>
    <w:rsid w:val="004E3F69"/>
    <w:rsid w:val="004E47FF"/>
    <w:rsid w:val="004E4B99"/>
    <w:rsid w:val="004E4BD8"/>
    <w:rsid w:val="004E5B70"/>
    <w:rsid w:val="004E5EBA"/>
    <w:rsid w:val="004E64A5"/>
    <w:rsid w:val="004E6CA4"/>
    <w:rsid w:val="004E70BB"/>
    <w:rsid w:val="004F04D3"/>
    <w:rsid w:val="004F0AD8"/>
    <w:rsid w:val="004F0EB8"/>
    <w:rsid w:val="004F1267"/>
    <w:rsid w:val="004F12C2"/>
    <w:rsid w:val="004F1D7D"/>
    <w:rsid w:val="004F1DD7"/>
    <w:rsid w:val="004F3585"/>
    <w:rsid w:val="004F3774"/>
    <w:rsid w:val="004F3BF7"/>
    <w:rsid w:val="004F46EB"/>
    <w:rsid w:val="004F582E"/>
    <w:rsid w:val="004F592E"/>
    <w:rsid w:val="004F5A27"/>
    <w:rsid w:val="004F6589"/>
    <w:rsid w:val="004F65D6"/>
    <w:rsid w:val="004F684E"/>
    <w:rsid w:val="004F6CCF"/>
    <w:rsid w:val="004F7B45"/>
    <w:rsid w:val="005000AD"/>
    <w:rsid w:val="00500A46"/>
    <w:rsid w:val="00501A97"/>
    <w:rsid w:val="0050265B"/>
    <w:rsid w:val="00502879"/>
    <w:rsid w:val="00502AC2"/>
    <w:rsid w:val="00502B24"/>
    <w:rsid w:val="00503282"/>
    <w:rsid w:val="005033F1"/>
    <w:rsid w:val="00503792"/>
    <w:rsid w:val="00503872"/>
    <w:rsid w:val="00504219"/>
    <w:rsid w:val="0050455E"/>
    <w:rsid w:val="0050471A"/>
    <w:rsid w:val="00505549"/>
    <w:rsid w:val="00505DF7"/>
    <w:rsid w:val="00506760"/>
    <w:rsid w:val="00506B2D"/>
    <w:rsid w:val="00506B6A"/>
    <w:rsid w:val="0050707C"/>
    <w:rsid w:val="00507A24"/>
    <w:rsid w:val="00510465"/>
    <w:rsid w:val="00512969"/>
    <w:rsid w:val="00512A79"/>
    <w:rsid w:val="00512C00"/>
    <w:rsid w:val="005136C9"/>
    <w:rsid w:val="00513F31"/>
    <w:rsid w:val="005144F9"/>
    <w:rsid w:val="00514E03"/>
    <w:rsid w:val="005155A3"/>
    <w:rsid w:val="00516302"/>
    <w:rsid w:val="00516BB6"/>
    <w:rsid w:val="005175B5"/>
    <w:rsid w:val="005179BA"/>
    <w:rsid w:val="00517D92"/>
    <w:rsid w:val="0052077D"/>
    <w:rsid w:val="005207AF"/>
    <w:rsid w:val="00520BF4"/>
    <w:rsid w:val="00520F5D"/>
    <w:rsid w:val="005228EF"/>
    <w:rsid w:val="00522CC4"/>
    <w:rsid w:val="005235EE"/>
    <w:rsid w:val="00524569"/>
    <w:rsid w:val="005245F2"/>
    <w:rsid w:val="00524D9A"/>
    <w:rsid w:val="0052500E"/>
    <w:rsid w:val="005267DD"/>
    <w:rsid w:val="00526EF2"/>
    <w:rsid w:val="0052735D"/>
    <w:rsid w:val="0052740C"/>
    <w:rsid w:val="005275BA"/>
    <w:rsid w:val="005302AE"/>
    <w:rsid w:val="00531D47"/>
    <w:rsid w:val="00531FD8"/>
    <w:rsid w:val="00532406"/>
    <w:rsid w:val="0053279A"/>
    <w:rsid w:val="00533385"/>
    <w:rsid w:val="00533553"/>
    <w:rsid w:val="00533F91"/>
    <w:rsid w:val="00533FB3"/>
    <w:rsid w:val="0053418E"/>
    <w:rsid w:val="00534589"/>
    <w:rsid w:val="00534D6A"/>
    <w:rsid w:val="00534E2B"/>
    <w:rsid w:val="00535AA6"/>
    <w:rsid w:val="005360F3"/>
    <w:rsid w:val="00536DFC"/>
    <w:rsid w:val="00537414"/>
    <w:rsid w:val="005407A1"/>
    <w:rsid w:val="00540A3D"/>
    <w:rsid w:val="005416C2"/>
    <w:rsid w:val="00541CAA"/>
    <w:rsid w:val="00541F1C"/>
    <w:rsid w:val="0054350A"/>
    <w:rsid w:val="00543D5E"/>
    <w:rsid w:val="00543EE4"/>
    <w:rsid w:val="00545173"/>
    <w:rsid w:val="005462C6"/>
    <w:rsid w:val="0054667F"/>
    <w:rsid w:val="00546859"/>
    <w:rsid w:val="005469DC"/>
    <w:rsid w:val="00546D23"/>
    <w:rsid w:val="00546E99"/>
    <w:rsid w:val="00546FD1"/>
    <w:rsid w:val="0054799E"/>
    <w:rsid w:val="0055098F"/>
    <w:rsid w:val="00550C35"/>
    <w:rsid w:val="00550DE5"/>
    <w:rsid w:val="00550F70"/>
    <w:rsid w:val="005523A9"/>
    <w:rsid w:val="00552A33"/>
    <w:rsid w:val="00552B78"/>
    <w:rsid w:val="00552D20"/>
    <w:rsid w:val="00552EB9"/>
    <w:rsid w:val="005532F9"/>
    <w:rsid w:val="005533D8"/>
    <w:rsid w:val="00553A3C"/>
    <w:rsid w:val="00553CD7"/>
    <w:rsid w:val="0055428A"/>
    <w:rsid w:val="00554490"/>
    <w:rsid w:val="00554773"/>
    <w:rsid w:val="005555CF"/>
    <w:rsid w:val="00555DC7"/>
    <w:rsid w:val="005566A0"/>
    <w:rsid w:val="00556DB9"/>
    <w:rsid w:val="005570B5"/>
    <w:rsid w:val="0055726C"/>
    <w:rsid w:val="00557C1C"/>
    <w:rsid w:val="00557D2A"/>
    <w:rsid w:val="00560207"/>
    <w:rsid w:val="00560767"/>
    <w:rsid w:val="0056076B"/>
    <w:rsid w:val="00560898"/>
    <w:rsid w:val="00560F19"/>
    <w:rsid w:val="005623F8"/>
    <w:rsid w:val="00562BF6"/>
    <w:rsid w:val="00563507"/>
    <w:rsid w:val="005638EA"/>
    <w:rsid w:val="00564B42"/>
    <w:rsid w:val="00564C7E"/>
    <w:rsid w:val="005659CE"/>
    <w:rsid w:val="005659F3"/>
    <w:rsid w:val="00565BC1"/>
    <w:rsid w:val="00566524"/>
    <w:rsid w:val="0056776F"/>
    <w:rsid w:val="00567F19"/>
    <w:rsid w:val="00570C28"/>
    <w:rsid w:val="005716F0"/>
    <w:rsid w:val="00571AD2"/>
    <w:rsid w:val="00571B34"/>
    <w:rsid w:val="00572812"/>
    <w:rsid w:val="00572DEC"/>
    <w:rsid w:val="005731DF"/>
    <w:rsid w:val="00573376"/>
    <w:rsid w:val="00574354"/>
    <w:rsid w:val="005745F0"/>
    <w:rsid w:val="0057483F"/>
    <w:rsid w:val="00574EB8"/>
    <w:rsid w:val="00576D87"/>
    <w:rsid w:val="0057723A"/>
    <w:rsid w:val="005773CB"/>
    <w:rsid w:val="00577A9F"/>
    <w:rsid w:val="00580286"/>
    <w:rsid w:val="00580298"/>
    <w:rsid w:val="0058057A"/>
    <w:rsid w:val="00582305"/>
    <w:rsid w:val="00582A75"/>
    <w:rsid w:val="00583B78"/>
    <w:rsid w:val="00585896"/>
    <w:rsid w:val="005859C0"/>
    <w:rsid w:val="00585BF4"/>
    <w:rsid w:val="00585C20"/>
    <w:rsid w:val="00585D89"/>
    <w:rsid w:val="00585E4E"/>
    <w:rsid w:val="005865FB"/>
    <w:rsid w:val="00586CA5"/>
    <w:rsid w:val="00587A3D"/>
    <w:rsid w:val="00590086"/>
    <w:rsid w:val="005900D8"/>
    <w:rsid w:val="00590187"/>
    <w:rsid w:val="00590BD7"/>
    <w:rsid w:val="0059177E"/>
    <w:rsid w:val="00591A2A"/>
    <w:rsid w:val="0059239B"/>
    <w:rsid w:val="00592633"/>
    <w:rsid w:val="00593560"/>
    <w:rsid w:val="00593CF1"/>
    <w:rsid w:val="00593EFA"/>
    <w:rsid w:val="0059405F"/>
    <w:rsid w:val="00594119"/>
    <w:rsid w:val="00594128"/>
    <w:rsid w:val="00594F34"/>
    <w:rsid w:val="00595054"/>
    <w:rsid w:val="0059534D"/>
    <w:rsid w:val="00595BC4"/>
    <w:rsid w:val="00596262"/>
    <w:rsid w:val="005966E0"/>
    <w:rsid w:val="00597BA9"/>
    <w:rsid w:val="00597C64"/>
    <w:rsid w:val="005A0427"/>
    <w:rsid w:val="005A127B"/>
    <w:rsid w:val="005A12C2"/>
    <w:rsid w:val="005A1301"/>
    <w:rsid w:val="005A19DD"/>
    <w:rsid w:val="005A1F63"/>
    <w:rsid w:val="005A206C"/>
    <w:rsid w:val="005A269D"/>
    <w:rsid w:val="005A2CEB"/>
    <w:rsid w:val="005A3289"/>
    <w:rsid w:val="005A380D"/>
    <w:rsid w:val="005A4385"/>
    <w:rsid w:val="005A4CB5"/>
    <w:rsid w:val="005A5EE5"/>
    <w:rsid w:val="005A6692"/>
    <w:rsid w:val="005A69BA"/>
    <w:rsid w:val="005A6ABE"/>
    <w:rsid w:val="005A72CA"/>
    <w:rsid w:val="005A7644"/>
    <w:rsid w:val="005A7D5B"/>
    <w:rsid w:val="005B0515"/>
    <w:rsid w:val="005B073C"/>
    <w:rsid w:val="005B0CF5"/>
    <w:rsid w:val="005B14C7"/>
    <w:rsid w:val="005B163E"/>
    <w:rsid w:val="005B1A56"/>
    <w:rsid w:val="005B2500"/>
    <w:rsid w:val="005B2BCA"/>
    <w:rsid w:val="005B3616"/>
    <w:rsid w:val="005B37AB"/>
    <w:rsid w:val="005B4DC5"/>
    <w:rsid w:val="005B4FB3"/>
    <w:rsid w:val="005B505B"/>
    <w:rsid w:val="005B5246"/>
    <w:rsid w:val="005B528A"/>
    <w:rsid w:val="005B5485"/>
    <w:rsid w:val="005B5546"/>
    <w:rsid w:val="005B5B6F"/>
    <w:rsid w:val="005B5E86"/>
    <w:rsid w:val="005B678C"/>
    <w:rsid w:val="005B719C"/>
    <w:rsid w:val="005B730C"/>
    <w:rsid w:val="005B750D"/>
    <w:rsid w:val="005B77D8"/>
    <w:rsid w:val="005C0C3C"/>
    <w:rsid w:val="005C0ED4"/>
    <w:rsid w:val="005C3C13"/>
    <w:rsid w:val="005C418E"/>
    <w:rsid w:val="005C64D8"/>
    <w:rsid w:val="005C73D7"/>
    <w:rsid w:val="005C7E2E"/>
    <w:rsid w:val="005C7FAA"/>
    <w:rsid w:val="005D0036"/>
    <w:rsid w:val="005D3BBD"/>
    <w:rsid w:val="005D4274"/>
    <w:rsid w:val="005D4B88"/>
    <w:rsid w:val="005D622F"/>
    <w:rsid w:val="005D664E"/>
    <w:rsid w:val="005D6922"/>
    <w:rsid w:val="005D7196"/>
    <w:rsid w:val="005D746F"/>
    <w:rsid w:val="005D7D52"/>
    <w:rsid w:val="005E0031"/>
    <w:rsid w:val="005E0ADB"/>
    <w:rsid w:val="005E1495"/>
    <w:rsid w:val="005E152D"/>
    <w:rsid w:val="005E1891"/>
    <w:rsid w:val="005E189A"/>
    <w:rsid w:val="005E1920"/>
    <w:rsid w:val="005E2468"/>
    <w:rsid w:val="005E31BC"/>
    <w:rsid w:val="005E446B"/>
    <w:rsid w:val="005E4E99"/>
    <w:rsid w:val="005E6416"/>
    <w:rsid w:val="005E6628"/>
    <w:rsid w:val="005E689D"/>
    <w:rsid w:val="005E699B"/>
    <w:rsid w:val="005E6D7D"/>
    <w:rsid w:val="005E6E3D"/>
    <w:rsid w:val="005E70B1"/>
    <w:rsid w:val="005E7554"/>
    <w:rsid w:val="005E7896"/>
    <w:rsid w:val="005E7D26"/>
    <w:rsid w:val="005E7E31"/>
    <w:rsid w:val="005F0001"/>
    <w:rsid w:val="005F006C"/>
    <w:rsid w:val="005F0368"/>
    <w:rsid w:val="005F0B21"/>
    <w:rsid w:val="005F1578"/>
    <w:rsid w:val="005F15AA"/>
    <w:rsid w:val="005F1B79"/>
    <w:rsid w:val="005F1E10"/>
    <w:rsid w:val="005F2B5A"/>
    <w:rsid w:val="005F2FCE"/>
    <w:rsid w:val="005F3500"/>
    <w:rsid w:val="005F4898"/>
    <w:rsid w:val="005F4BE7"/>
    <w:rsid w:val="005F4E4F"/>
    <w:rsid w:val="005F4EE7"/>
    <w:rsid w:val="005F59C5"/>
    <w:rsid w:val="005F63FE"/>
    <w:rsid w:val="005F6B28"/>
    <w:rsid w:val="005F6F05"/>
    <w:rsid w:val="005F7248"/>
    <w:rsid w:val="005F7CF3"/>
    <w:rsid w:val="005F7EF8"/>
    <w:rsid w:val="00602071"/>
    <w:rsid w:val="00602296"/>
    <w:rsid w:val="006027A9"/>
    <w:rsid w:val="006027FA"/>
    <w:rsid w:val="006029A4"/>
    <w:rsid w:val="00602EB5"/>
    <w:rsid w:val="0060311B"/>
    <w:rsid w:val="00604130"/>
    <w:rsid w:val="0060432A"/>
    <w:rsid w:val="00604A71"/>
    <w:rsid w:val="00605A68"/>
    <w:rsid w:val="00606E28"/>
    <w:rsid w:val="00607269"/>
    <w:rsid w:val="00607936"/>
    <w:rsid w:val="00607EA6"/>
    <w:rsid w:val="00607EC1"/>
    <w:rsid w:val="0061016B"/>
    <w:rsid w:val="00610962"/>
    <w:rsid w:val="00610A1E"/>
    <w:rsid w:val="006112BE"/>
    <w:rsid w:val="006115A1"/>
    <w:rsid w:val="006119DD"/>
    <w:rsid w:val="00613441"/>
    <w:rsid w:val="00613708"/>
    <w:rsid w:val="00613DD5"/>
    <w:rsid w:val="00613E15"/>
    <w:rsid w:val="00613F3C"/>
    <w:rsid w:val="006144D1"/>
    <w:rsid w:val="006145DB"/>
    <w:rsid w:val="006154C5"/>
    <w:rsid w:val="00615B68"/>
    <w:rsid w:val="00615CAD"/>
    <w:rsid w:val="00616081"/>
    <w:rsid w:val="00616118"/>
    <w:rsid w:val="006161C1"/>
    <w:rsid w:val="00616FCD"/>
    <w:rsid w:val="00617DDA"/>
    <w:rsid w:val="0062049F"/>
    <w:rsid w:val="00620961"/>
    <w:rsid w:val="00620F51"/>
    <w:rsid w:val="006216FB"/>
    <w:rsid w:val="0062239E"/>
    <w:rsid w:val="0062250C"/>
    <w:rsid w:val="0062268E"/>
    <w:rsid w:val="00622C1B"/>
    <w:rsid w:val="00622E0E"/>
    <w:rsid w:val="00624059"/>
    <w:rsid w:val="00624F02"/>
    <w:rsid w:val="006251FE"/>
    <w:rsid w:val="00625BB1"/>
    <w:rsid w:val="006263CB"/>
    <w:rsid w:val="00626628"/>
    <w:rsid w:val="006272D3"/>
    <w:rsid w:val="00630187"/>
    <w:rsid w:val="00630193"/>
    <w:rsid w:val="006309CD"/>
    <w:rsid w:val="00631538"/>
    <w:rsid w:val="00631CF7"/>
    <w:rsid w:val="0063252D"/>
    <w:rsid w:val="00633474"/>
    <w:rsid w:val="00633C47"/>
    <w:rsid w:val="00634255"/>
    <w:rsid w:val="00634421"/>
    <w:rsid w:val="00634518"/>
    <w:rsid w:val="00634D38"/>
    <w:rsid w:val="00635EF4"/>
    <w:rsid w:val="0064058D"/>
    <w:rsid w:val="006407D0"/>
    <w:rsid w:val="00640A1F"/>
    <w:rsid w:val="00640C4B"/>
    <w:rsid w:val="006417FB"/>
    <w:rsid w:val="00641CBB"/>
    <w:rsid w:val="0064378B"/>
    <w:rsid w:val="00643859"/>
    <w:rsid w:val="00643F3A"/>
    <w:rsid w:val="00644DDA"/>
    <w:rsid w:val="00644DF2"/>
    <w:rsid w:val="00644F43"/>
    <w:rsid w:val="0064510D"/>
    <w:rsid w:val="00645C32"/>
    <w:rsid w:val="00645DF9"/>
    <w:rsid w:val="0064605A"/>
    <w:rsid w:val="006467C1"/>
    <w:rsid w:val="00646D77"/>
    <w:rsid w:val="0064763C"/>
    <w:rsid w:val="0064794C"/>
    <w:rsid w:val="00650043"/>
    <w:rsid w:val="00650A23"/>
    <w:rsid w:val="00650AA3"/>
    <w:rsid w:val="00650ECE"/>
    <w:rsid w:val="00651477"/>
    <w:rsid w:val="0065178C"/>
    <w:rsid w:val="00651AF3"/>
    <w:rsid w:val="00651F9E"/>
    <w:rsid w:val="006529AA"/>
    <w:rsid w:val="00652EB0"/>
    <w:rsid w:val="0065338A"/>
    <w:rsid w:val="00653890"/>
    <w:rsid w:val="006557A6"/>
    <w:rsid w:val="00655ECD"/>
    <w:rsid w:val="0065616A"/>
    <w:rsid w:val="0065684D"/>
    <w:rsid w:val="00656C48"/>
    <w:rsid w:val="00656DB1"/>
    <w:rsid w:val="006571EE"/>
    <w:rsid w:val="0065720C"/>
    <w:rsid w:val="00660C7E"/>
    <w:rsid w:val="00661579"/>
    <w:rsid w:val="006616FB"/>
    <w:rsid w:val="0066181E"/>
    <w:rsid w:val="006621D6"/>
    <w:rsid w:val="0066220C"/>
    <w:rsid w:val="006624F4"/>
    <w:rsid w:val="0066267D"/>
    <w:rsid w:val="00662FA2"/>
    <w:rsid w:val="006639A3"/>
    <w:rsid w:val="00663D93"/>
    <w:rsid w:val="0066470A"/>
    <w:rsid w:val="006648A8"/>
    <w:rsid w:val="00664922"/>
    <w:rsid w:val="00666421"/>
    <w:rsid w:val="0066658C"/>
    <w:rsid w:val="00666657"/>
    <w:rsid w:val="00666C1C"/>
    <w:rsid w:val="00667A71"/>
    <w:rsid w:val="00670A6B"/>
    <w:rsid w:val="00671102"/>
    <w:rsid w:val="00671BB8"/>
    <w:rsid w:val="00671D1B"/>
    <w:rsid w:val="00672159"/>
    <w:rsid w:val="00673FF9"/>
    <w:rsid w:val="0067565D"/>
    <w:rsid w:val="00675855"/>
    <w:rsid w:val="00675E94"/>
    <w:rsid w:val="00676180"/>
    <w:rsid w:val="00676B63"/>
    <w:rsid w:val="00677E0A"/>
    <w:rsid w:val="00680421"/>
    <w:rsid w:val="006804EF"/>
    <w:rsid w:val="00681108"/>
    <w:rsid w:val="00681589"/>
    <w:rsid w:val="006815A6"/>
    <w:rsid w:val="006816C0"/>
    <w:rsid w:val="00681AD7"/>
    <w:rsid w:val="00682076"/>
    <w:rsid w:val="00682C63"/>
    <w:rsid w:val="006832E2"/>
    <w:rsid w:val="00683BF1"/>
    <w:rsid w:val="00683E29"/>
    <w:rsid w:val="006846DF"/>
    <w:rsid w:val="0068479C"/>
    <w:rsid w:val="0068597A"/>
    <w:rsid w:val="00687295"/>
    <w:rsid w:val="0068772B"/>
    <w:rsid w:val="00687989"/>
    <w:rsid w:val="0069009D"/>
    <w:rsid w:val="00690634"/>
    <w:rsid w:val="00690706"/>
    <w:rsid w:val="00690AC4"/>
    <w:rsid w:val="00691B3F"/>
    <w:rsid w:val="00691F4E"/>
    <w:rsid w:val="006922E1"/>
    <w:rsid w:val="00692DF3"/>
    <w:rsid w:val="00692EBD"/>
    <w:rsid w:val="006935E9"/>
    <w:rsid w:val="006938D7"/>
    <w:rsid w:val="00693CE6"/>
    <w:rsid w:val="006941E9"/>
    <w:rsid w:val="006942FE"/>
    <w:rsid w:val="00694A81"/>
    <w:rsid w:val="00695135"/>
    <w:rsid w:val="006951B8"/>
    <w:rsid w:val="0069542D"/>
    <w:rsid w:val="00695D72"/>
    <w:rsid w:val="0069694D"/>
    <w:rsid w:val="00697C44"/>
    <w:rsid w:val="00697CBE"/>
    <w:rsid w:val="006A0220"/>
    <w:rsid w:val="006A02BA"/>
    <w:rsid w:val="006A0541"/>
    <w:rsid w:val="006A1345"/>
    <w:rsid w:val="006A182D"/>
    <w:rsid w:val="006A1CB3"/>
    <w:rsid w:val="006A3190"/>
    <w:rsid w:val="006A33E1"/>
    <w:rsid w:val="006A4115"/>
    <w:rsid w:val="006A4119"/>
    <w:rsid w:val="006A417A"/>
    <w:rsid w:val="006A4520"/>
    <w:rsid w:val="006A587D"/>
    <w:rsid w:val="006A5DE5"/>
    <w:rsid w:val="006A70FD"/>
    <w:rsid w:val="006B101F"/>
    <w:rsid w:val="006B243B"/>
    <w:rsid w:val="006B24B2"/>
    <w:rsid w:val="006B2BCB"/>
    <w:rsid w:val="006B31D9"/>
    <w:rsid w:val="006B34FB"/>
    <w:rsid w:val="006B369C"/>
    <w:rsid w:val="006B3BE2"/>
    <w:rsid w:val="006B457F"/>
    <w:rsid w:val="006B4AF4"/>
    <w:rsid w:val="006B4F86"/>
    <w:rsid w:val="006B5079"/>
    <w:rsid w:val="006B512D"/>
    <w:rsid w:val="006B5267"/>
    <w:rsid w:val="006B59CF"/>
    <w:rsid w:val="006B5E63"/>
    <w:rsid w:val="006B6090"/>
    <w:rsid w:val="006B66B4"/>
    <w:rsid w:val="006B6ADA"/>
    <w:rsid w:val="006B7208"/>
    <w:rsid w:val="006B72D3"/>
    <w:rsid w:val="006C051A"/>
    <w:rsid w:val="006C06ED"/>
    <w:rsid w:val="006C07A1"/>
    <w:rsid w:val="006C0D5D"/>
    <w:rsid w:val="006C176E"/>
    <w:rsid w:val="006C1C67"/>
    <w:rsid w:val="006C1CA7"/>
    <w:rsid w:val="006C207A"/>
    <w:rsid w:val="006C2B89"/>
    <w:rsid w:val="006C372B"/>
    <w:rsid w:val="006C3D37"/>
    <w:rsid w:val="006C425C"/>
    <w:rsid w:val="006C448E"/>
    <w:rsid w:val="006C4C6C"/>
    <w:rsid w:val="006C4F26"/>
    <w:rsid w:val="006C516A"/>
    <w:rsid w:val="006C581A"/>
    <w:rsid w:val="006C582A"/>
    <w:rsid w:val="006C5C23"/>
    <w:rsid w:val="006C6001"/>
    <w:rsid w:val="006C64DE"/>
    <w:rsid w:val="006C64EC"/>
    <w:rsid w:val="006C69CF"/>
    <w:rsid w:val="006C6E0D"/>
    <w:rsid w:val="006C7288"/>
    <w:rsid w:val="006C7680"/>
    <w:rsid w:val="006D00A9"/>
    <w:rsid w:val="006D1416"/>
    <w:rsid w:val="006D1439"/>
    <w:rsid w:val="006D200E"/>
    <w:rsid w:val="006D20BD"/>
    <w:rsid w:val="006D20C3"/>
    <w:rsid w:val="006D22D0"/>
    <w:rsid w:val="006D29D8"/>
    <w:rsid w:val="006D2A28"/>
    <w:rsid w:val="006D2BD1"/>
    <w:rsid w:val="006D3F10"/>
    <w:rsid w:val="006D4343"/>
    <w:rsid w:val="006D45EE"/>
    <w:rsid w:val="006D4B15"/>
    <w:rsid w:val="006D4E0C"/>
    <w:rsid w:val="006D515F"/>
    <w:rsid w:val="006D703C"/>
    <w:rsid w:val="006D7450"/>
    <w:rsid w:val="006E0101"/>
    <w:rsid w:val="006E0E29"/>
    <w:rsid w:val="006E0F1A"/>
    <w:rsid w:val="006E10B2"/>
    <w:rsid w:val="006E229B"/>
    <w:rsid w:val="006E25DA"/>
    <w:rsid w:val="006E2D98"/>
    <w:rsid w:val="006E39A3"/>
    <w:rsid w:val="006E574B"/>
    <w:rsid w:val="006E668E"/>
    <w:rsid w:val="006E6F8A"/>
    <w:rsid w:val="006E7315"/>
    <w:rsid w:val="006E7368"/>
    <w:rsid w:val="006E7AB7"/>
    <w:rsid w:val="006E7B42"/>
    <w:rsid w:val="006F03D8"/>
    <w:rsid w:val="006F0D9D"/>
    <w:rsid w:val="006F1A12"/>
    <w:rsid w:val="006F2511"/>
    <w:rsid w:val="006F25DB"/>
    <w:rsid w:val="006F2EEF"/>
    <w:rsid w:val="006F2FA4"/>
    <w:rsid w:val="006F3019"/>
    <w:rsid w:val="006F3CD6"/>
    <w:rsid w:val="006F3D3F"/>
    <w:rsid w:val="006F4D12"/>
    <w:rsid w:val="006F4F1E"/>
    <w:rsid w:val="006F55A9"/>
    <w:rsid w:val="007000E2"/>
    <w:rsid w:val="0070032C"/>
    <w:rsid w:val="00700994"/>
    <w:rsid w:val="00701629"/>
    <w:rsid w:val="007017F6"/>
    <w:rsid w:val="00701C62"/>
    <w:rsid w:val="00702103"/>
    <w:rsid w:val="00702B37"/>
    <w:rsid w:val="007040E9"/>
    <w:rsid w:val="00705819"/>
    <w:rsid w:val="00706140"/>
    <w:rsid w:val="007069C3"/>
    <w:rsid w:val="00706BC5"/>
    <w:rsid w:val="00707B33"/>
    <w:rsid w:val="00707D27"/>
    <w:rsid w:val="007105D5"/>
    <w:rsid w:val="00710973"/>
    <w:rsid w:val="00710B0E"/>
    <w:rsid w:val="00710B39"/>
    <w:rsid w:val="00711253"/>
    <w:rsid w:val="007112EA"/>
    <w:rsid w:val="007112FF"/>
    <w:rsid w:val="0071141E"/>
    <w:rsid w:val="007114E1"/>
    <w:rsid w:val="00711704"/>
    <w:rsid w:val="00712D7C"/>
    <w:rsid w:val="00713306"/>
    <w:rsid w:val="0071346E"/>
    <w:rsid w:val="00714904"/>
    <w:rsid w:val="00714CCC"/>
    <w:rsid w:val="00715729"/>
    <w:rsid w:val="00715FE5"/>
    <w:rsid w:val="00717D64"/>
    <w:rsid w:val="007201BB"/>
    <w:rsid w:val="00720F3F"/>
    <w:rsid w:val="00721181"/>
    <w:rsid w:val="00721AA6"/>
    <w:rsid w:val="00721F0E"/>
    <w:rsid w:val="00721FC8"/>
    <w:rsid w:val="00721FE7"/>
    <w:rsid w:val="007232F7"/>
    <w:rsid w:val="00724045"/>
    <w:rsid w:val="0072473A"/>
    <w:rsid w:val="00724887"/>
    <w:rsid w:val="00725DD5"/>
    <w:rsid w:val="00725EA3"/>
    <w:rsid w:val="00725FD1"/>
    <w:rsid w:val="0072632B"/>
    <w:rsid w:val="0072650E"/>
    <w:rsid w:val="007267A8"/>
    <w:rsid w:val="0072687A"/>
    <w:rsid w:val="00726F5A"/>
    <w:rsid w:val="0072717D"/>
    <w:rsid w:val="00727376"/>
    <w:rsid w:val="007276B1"/>
    <w:rsid w:val="007276C9"/>
    <w:rsid w:val="00727716"/>
    <w:rsid w:val="00727808"/>
    <w:rsid w:val="00727EAC"/>
    <w:rsid w:val="007302A3"/>
    <w:rsid w:val="007306A0"/>
    <w:rsid w:val="00730BF1"/>
    <w:rsid w:val="0073144C"/>
    <w:rsid w:val="007317CF"/>
    <w:rsid w:val="00731978"/>
    <w:rsid w:val="00731D6F"/>
    <w:rsid w:val="007325BD"/>
    <w:rsid w:val="00732652"/>
    <w:rsid w:val="00734A7C"/>
    <w:rsid w:val="007350CF"/>
    <w:rsid w:val="007356B2"/>
    <w:rsid w:val="00736A33"/>
    <w:rsid w:val="007373BE"/>
    <w:rsid w:val="00737552"/>
    <w:rsid w:val="0073785D"/>
    <w:rsid w:val="00737C28"/>
    <w:rsid w:val="007406D6"/>
    <w:rsid w:val="007407AE"/>
    <w:rsid w:val="007409A4"/>
    <w:rsid w:val="00740F30"/>
    <w:rsid w:val="00741B04"/>
    <w:rsid w:val="00741C19"/>
    <w:rsid w:val="00741EB9"/>
    <w:rsid w:val="00741F9C"/>
    <w:rsid w:val="0074320F"/>
    <w:rsid w:val="00743C5A"/>
    <w:rsid w:val="00743EB7"/>
    <w:rsid w:val="00743F77"/>
    <w:rsid w:val="00744D85"/>
    <w:rsid w:val="00745776"/>
    <w:rsid w:val="00745FCA"/>
    <w:rsid w:val="007464C3"/>
    <w:rsid w:val="00746C60"/>
    <w:rsid w:val="00746DDA"/>
    <w:rsid w:val="007474A9"/>
    <w:rsid w:val="00747DC6"/>
    <w:rsid w:val="00747DF1"/>
    <w:rsid w:val="00750247"/>
    <w:rsid w:val="0075088A"/>
    <w:rsid w:val="00750A14"/>
    <w:rsid w:val="007510CA"/>
    <w:rsid w:val="007511B1"/>
    <w:rsid w:val="00752187"/>
    <w:rsid w:val="007524D8"/>
    <w:rsid w:val="007526FB"/>
    <w:rsid w:val="007528AB"/>
    <w:rsid w:val="00752ACA"/>
    <w:rsid w:val="0075310A"/>
    <w:rsid w:val="007542DB"/>
    <w:rsid w:val="00754418"/>
    <w:rsid w:val="0075445F"/>
    <w:rsid w:val="007546F8"/>
    <w:rsid w:val="00755DA6"/>
    <w:rsid w:val="00755F0A"/>
    <w:rsid w:val="007561FA"/>
    <w:rsid w:val="00756E8E"/>
    <w:rsid w:val="0075793B"/>
    <w:rsid w:val="007600C3"/>
    <w:rsid w:val="00760163"/>
    <w:rsid w:val="00762D9D"/>
    <w:rsid w:val="007630FC"/>
    <w:rsid w:val="00763564"/>
    <w:rsid w:val="00764798"/>
    <w:rsid w:val="00764FC3"/>
    <w:rsid w:val="0076520A"/>
    <w:rsid w:val="007660CA"/>
    <w:rsid w:val="00766966"/>
    <w:rsid w:val="00766A7C"/>
    <w:rsid w:val="00767037"/>
    <w:rsid w:val="00767844"/>
    <w:rsid w:val="00767E9E"/>
    <w:rsid w:val="00770400"/>
    <w:rsid w:val="00771616"/>
    <w:rsid w:val="00771B0E"/>
    <w:rsid w:val="00771EB8"/>
    <w:rsid w:val="00772ABE"/>
    <w:rsid w:val="00772C25"/>
    <w:rsid w:val="00772C8C"/>
    <w:rsid w:val="00772D7B"/>
    <w:rsid w:val="007735B6"/>
    <w:rsid w:val="0077377F"/>
    <w:rsid w:val="007740FC"/>
    <w:rsid w:val="00774178"/>
    <w:rsid w:val="0077430A"/>
    <w:rsid w:val="00775C11"/>
    <w:rsid w:val="00777267"/>
    <w:rsid w:val="00777E6C"/>
    <w:rsid w:val="00781481"/>
    <w:rsid w:val="007817C0"/>
    <w:rsid w:val="00782D29"/>
    <w:rsid w:val="0078401A"/>
    <w:rsid w:val="0078417F"/>
    <w:rsid w:val="007846BB"/>
    <w:rsid w:val="00786952"/>
    <w:rsid w:val="00786FDD"/>
    <w:rsid w:val="0078793C"/>
    <w:rsid w:val="0079035D"/>
    <w:rsid w:val="00790D40"/>
    <w:rsid w:val="007914D2"/>
    <w:rsid w:val="00791579"/>
    <w:rsid w:val="007917B1"/>
    <w:rsid w:val="00791941"/>
    <w:rsid w:val="00792052"/>
    <w:rsid w:val="007927C6"/>
    <w:rsid w:val="00793D87"/>
    <w:rsid w:val="0079512D"/>
    <w:rsid w:val="00795862"/>
    <w:rsid w:val="007958FF"/>
    <w:rsid w:val="00795D71"/>
    <w:rsid w:val="00795F30"/>
    <w:rsid w:val="00796154"/>
    <w:rsid w:val="0079772A"/>
    <w:rsid w:val="007A0512"/>
    <w:rsid w:val="007A0650"/>
    <w:rsid w:val="007A0B3A"/>
    <w:rsid w:val="007A0CC3"/>
    <w:rsid w:val="007A195D"/>
    <w:rsid w:val="007A1D45"/>
    <w:rsid w:val="007A23A5"/>
    <w:rsid w:val="007A24FA"/>
    <w:rsid w:val="007A2BD6"/>
    <w:rsid w:val="007A2DFC"/>
    <w:rsid w:val="007A2EF6"/>
    <w:rsid w:val="007A2FC2"/>
    <w:rsid w:val="007A39D3"/>
    <w:rsid w:val="007A4B6B"/>
    <w:rsid w:val="007A4D43"/>
    <w:rsid w:val="007A5467"/>
    <w:rsid w:val="007A57B1"/>
    <w:rsid w:val="007A58B3"/>
    <w:rsid w:val="007A613A"/>
    <w:rsid w:val="007A6A86"/>
    <w:rsid w:val="007A6AE8"/>
    <w:rsid w:val="007A7056"/>
    <w:rsid w:val="007A728F"/>
    <w:rsid w:val="007A78B2"/>
    <w:rsid w:val="007A79E8"/>
    <w:rsid w:val="007B10A7"/>
    <w:rsid w:val="007B1413"/>
    <w:rsid w:val="007B15E0"/>
    <w:rsid w:val="007B18A7"/>
    <w:rsid w:val="007B23CB"/>
    <w:rsid w:val="007B2486"/>
    <w:rsid w:val="007B34C1"/>
    <w:rsid w:val="007B3B5B"/>
    <w:rsid w:val="007B3CC1"/>
    <w:rsid w:val="007B3F11"/>
    <w:rsid w:val="007B4650"/>
    <w:rsid w:val="007B5A88"/>
    <w:rsid w:val="007B5DA9"/>
    <w:rsid w:val="007B6046"/>
    <w:rsid w:val="007B6099"/>
    <w:rsid w:val="007B6108"/>
    <w:rsid w:val="007B6934"/>
    <w:rsid w:val="007B6C38"/>
    <w:rsid w:val="007B7388"/>
    <w:rsid w:val="007B76AA"/>
    <w:rsid w:val="007C0998"/>
    <w:rsid w:val="007C1895"/>
    <w:rsid w:val="007C1E06"/>
    <w:rsid w:val="007C1E4F"/>
    <w:rsid w:val="007C2CF0"/>
    <w:rsid w:val="007C3920"/>
    <w:rsid w:val="007C3C68"/>
    <w:rsid w:val="007C400C"/>
    <w:rsid w:val="007C4621"/>
    <w:rsid w:val="007C46E0"/>
    <w:rsid w:val="007C5624"/>
    <w:rsid w:val="007C5D1B"/>
    <w:rsid w:val="007C5DF4"/>
    <w:rsid w:val="007C6D01"/>
    <w:rsid w:val="007C7DD0"/>
    <w:rsid w:val="007D0064"/>
    <w:rsid w:val="007D0267"/>
    <w:rsid w:val="007D0270"/>
    <w:rsid w:val="007D02D7"/>
    <w:rsid w:val="007D0D9E"/>
    <w:rsid w:val="007D0DFB"/>
    <w:rsid w:val="007D0F13"/>
    <w:rsid w:val="007D1559"/>
    <w:rsid w:val="007D1FDC"/>
    <w:rsid w:val="007D21E4"/>
    <w:rsid w:val="007D280C"/>
    <w:rsid w:val="007D3ABF"/>
    <w:rsid w:val="007D3D1B"/>
    <w:rsid w:val="007D425C"/>
    <w:rsid w:val="007D4650"/>
    <w:rsid w:val="007D4A52"/>
    <w:rsid w:val="007D4D4F"/>
    <w:rsid w:val="007D5483"/>
    <w:rsid w:val="007D58E7"/>
    <w:rsid w:val="007D5AE4"/>
    <w:rsid w:val="007D6DAD"/>
    <w:rsid w:val="007D6EF0"/>
    <w:rsid w:val="007D7AB9"/>
    <w:rsid w:val="007D7AF9"/>
    <w:rsid w:val="007D7F89"/>
    <w:rsid w:val="007E02E3"/>
    <w:rsid w:val="007E060C"/>
    <w:rsid w:val="007E18E8"/>
    <w:rsid w:val="007E2069"/>
    <w:rsid w:val="007E20F9"/>
    <w:rsid w:val="007E28EB"/>
    <w:rsid w:val="007E310F"/>
    <w:rsid w:val="007E3BB3"/>
    <w:rsid w:val="007E3CFD"/>
    <w:rsid w:val="007E4DFC"/>
    <w:rsid w:val="007E51A6"/>
    <w:rsid w:val="007E5424"/>
    <w:rsid w:val="007E5A57"/>
    <w:rsid w:val="007E6668"/>
    <w:rsid w:val="007E6DD0"/>
    <w:rsid w:val="007E71B0"/>
    <w:rsid w:val="007E7A4B"/>
    <w:rsid w:val="007E7F2A"/>
    <w:rsid w:val="007F014F"/>
    <w:rsid w:val="007F0331"/>
    <w:rsid w:val="007F2274"/>
    <w:rsid w:val="007F30E4"/>
    <w:rsid w:val="007F3882"/>
    <w:rsid w:val="007F3CB4"/>
    <w:rsid w:val="007F3E41"/>
    <w:rsid w:val="007F4209"/>
    <w:rsid w:val="007F4239"/>
    <w:rsid w:val="007F53B1"/>
    <w:rsid w:val="007F5F4E"/>
    <w:rsid w:val="007F72CA"/>
    <w:rsid w:val="007F7956"/>
    <w:rsid w:val="007F7CB3"/>
    <w:rsid w:val="0080025A"/>
    <w:rsid w:val="00800B7E"/>
    <w:rsid w:val="00802CA5"/>
    <w:rsid w:val="00804760"/>
    <w:rsid w:val="008056CD"/>
    <w:rsid w:val="00805AC3"/>
    <w:rsid w:val="0080674A"/>
    <w:rsid w:val="008074B9"/>
    <w:rsid w:val="0080759A"/>
    <w:rsid w:val="00810240"/>
    <w:rsid w:val="0081247E"/>
    <w:rsid w:val="00812997"/>
    <w:rsid w:val="00812BE2"/>
    <w:rsid w:val="0081303B"/>
    <w:rsid w:val="00813801"/>
    <w:rsid w:val="00814E4C"/>
    <w:rsid w:val="00815352"/>
    <w:rsid w:val="0081559B"/>
    <w:rsid w:val="008155F9"/>
    <w:rsid w:val="0081696C"/>
    <w:rsid w:val="0081706E"/>
    <w:rsid w:val="008179C1"/>
    <w:rsid w:val="008179FE"/>
    <w:rsid w:val="00817A60"/>
    <w:rsid w:val="0082006D"/>
    <w:rsid w:val="008204F5"/>
    <w:rsid w:val="008205CF"/>
    <w:rsid w:val="0082089C"/>
    <w:rsid w:val="00820A4D"/>
    <w:rsid w:val="00820B5F"/>
    <w:rsid w:val="008218AF"/>
    <w:rsid w:val="0082262D"/>
    <w:rsid w:val="00822BD3"/>
    <w:rsid w:val="0082370B"/>
    <w:rsid w:val="00823F46"/>
    <w:rsid w:val="00824667"/>
    <w:rsid w:val="0082494C"/>
    <w:rsid w:val="00824AD3"/>
    <w:rsid w:val="00824BB0"/>
    <w:rsid w:val="00826690"/>
    <w:rsid w:val="00826717"/>
    <w:rsid w:val="008276AF"/>
    <w:rsid w:val="0082783F"/>
    <w:rsid w:val="00827BD6"/>
    <w:rsid w:val="008307EC"/>
    <w:rsid w:val="00830973"/>
    <w:rsid w:val="00830F30"/>
    <w:rsid w:val="00831841"/>
    <w:rsid w:val="00831A7D"/>
    <w:rsid w:val="00831A84"/>
    <w:rsid w:val="00831BE0"/>
    <w:rsid w:val="00831DF1"/>
    <w:rsid w:val="00832918"/>
    <w:rsid w:val="00832A89"/>
    <w:rsid w:val="0083316D"/>
    <w:rsid w:val="0083350F"/>
    <w:rsid w:val="008349CA"/>
    <w:rsid w:val="00836755"/>
    <w:rsid w:val="00836B24"/>
    <w:rsid w:val="00836B26"/>
    <w:rsid w:val="008372C2"/>
    <w:rsid w:val="00837ABB"/>
    <w:rsid w:val="00837B8D"/>
    <w:rsid w:val="00837D59"/>
    <w:rsid w:val="00837FD1"/>
    <w:rsid w:val="00840094"/>
    <w:rsid w:val="008416E4"/>
    <w:rsid w:val="00841BFB"/>
    <w:rsid w:val="00842CD7"/>
    <w:rsid w:val="00842D4F"/>
    <w:rsid w:val="00844244"/>
    <w:rsid w:val="0084427C"/>
    <w:rsid w:val="008446EB"/>
    <w:rsid w:val="00844DDD"/>
    <w:rsid w:val="00845765"/>
    <w:rsid w:val="00845F1C"/>
    <w:rsid w:val="008462ED"/>
    <w:rsid w:val="0084645A"/>
    <w:rsid w:val="008465E4"/>
    <w:rsid w:val="008467FF"/>
    <w:rsid w:val="00847564"/>
    <w:rsid w:val="0084787D"/>
    <w:rsid w:val="00847A52"/>
    <w:rsid w:val="00850274"/>
    <w:rsid w:val="00850ABE"/>
    <w:rsid w:val="00851A7A"/>
    <w:rsid w:val="00851C07"/>
    <w:rsid w:val="00852616"/>
    <w:rsid w:val="00853B79"/>
    <w:rsid w:val="0085460C"/>
    <w:rsid w:val="00854B40"/>
    <w:rsid w:val="00854BFD"/>
    <w:rsid w:val="008550A2"/>
    <w:rsid w:val="008557A2"/>
    <w:rsid w:val="00855BB8"/>
    <w:rsid w:val="0085600D"/>
    <w:rsid w:val="008561A6"/>
    <w:rsid w:val="00856A5C"/>
    <w:rsid w:val="00856A77"/>
    <w:rsid w:val="00856C5E"/>
    <w:rsid w:val="00857252"/>
    <w:rsid w:val="00857377"/>
    <w:rsid w:val="00857E0B"/>
    <w:rsid w:val="008605C3"/>
    <w:rsid w:val="00860D58"/>
    <w:rsid w:val="00860E88"/>
    <w:rsid w:val="00861ABD"/>
    <w:rsid w:val="00861B64"/>
    <w:rsid w:val="00861C7A"/>
    <w:rsid w:val="008624C2"/>
    <w:rsid w:val="00862E0F"/>
    <w:rsid w:val="008632AA"/>
    <w:rsid w:val="0086354B"/>
    <w:rsid w:val="0086364F"/>
    <w:rsid w:val="008637A6"/>
    <w:rsid w:val="00863B8D"/>
    <w:rsid w:val="00864F2B"/>
    <w:rsid w:val="00865A06"/>
    <w:rsid w:val="00865AAA"/>
    <w:rsid w:val="00865F2D"/>
    <w:rsid w:val="008662EA"/>
    <w:rsid w:val="008670C6"/>
    <w:rsid w:val="00867A8D"/>
    <w:rsid w:val="008706DE"/>
    <w:rsid w:val="00871250"/>
    <w:rsid w:val="00871BD3"/>
    <w:rsid w:val="00872913"/>
    <w:rsid w:val="00872AC1"/>
    <w:rsid w:val="00873117"/>
    <w:rsid w:val="008731FA"/>
    <w:rsid w:val="00874828"/>
    <w:rsid w:val="00874D1D"/>
    <w:rsid w:val="00875D3C"/>
    <w:rsid w:val="00876062"/>
    <w:rsid w:val="0087656A"/>
    <w:rsid w:val="00876662"/>
    <w:rsid w:val="00876850"/>
    <w:rsid w:val="00876BC5"/>
    <w:rsid w:val="00876EA0"/>
    <w:rsid w:val="00877339"/>
    <w:rsid w:val="008812E4"/>
    <w:rsid w:val="00881366"/>
    <w:rsid w:val="00881456"/>
    <w:rsid w:val="008821D7"/>
    <w:rsid w:val="00882798"/>
    <w:rsid w:val="00883EE5"/>
    <w:rsid w:val="00883F1B"/>
    <w:rsid w:val="0088410E"/>
    <w:rsid w:val="008852B2"/>
    <w:rsid w:val="00885472"/>
    <w:rsid w:val="008854B6"/>
    <w:rsid w:val="008854E0"/>
    <w:rsid w:val="00885B3E"/>
    <w:rsid w:val="0088611A"/>
    <w:rsid w:val="008863EF"/>
    <w:rsid w:val="00887FA5"/>
    <w:rsid w:val="008902CA"/>
    <w:rsid w:val="00891A49"/>
    <w:rsid w:val="00892439"/>
    <w:rsid w:val="008939D4"/>
    <w:rsid w:val="008961C6"/>
    <w:rsid w:val="0089660F"/>
    <w:rsid w:val="00896A80"/>
    <w:rsid w:val="00896B0B"/>
    <w:rsid w:val="00897145"/>
    <w:rsid w:val="00897CD5"/>
    <w:rsid w:val="008A0075"/>
    <w:rsid w:val="008A076B"/>
    <w:rsid w:val="008A1273"/>
    <w:rsid w:val="008A15F5"/>
    <w:rsid w:val="008A2088"/>
    <w:rsid w:val="008A3795"/>
    <w:rsid w:val="008A3935"/>
    <w:rsid w:val="008A3AC9"/>
    <w:rsid w:val="008A3B3A"/>
    <w:rsid w:val="008A468F"/>
    <w:rsid w:val="008A49DC"/>
    <w:rsid w:val="008A531E"/>
    <w:rsid w:val="008A55CA"/>
    <w:rsid w:val="008A5AAB"/>
    <w:rsid w:val="008A6B02"/>
    <w:rsid w:val="008A6DC0"/>
    <w:rsid w:val="008A7680"/>
    <w:rsid w:val="008B072E"/>
    <w:rsid w:val="008B07EF"/>
    <w:rsid w:val="008B09DB"/>
    <w:rsid w:val="008B0A98"/>
    <w:rsid w:val="008B0CCA"/>
    <w:rsid w:val="008B1C92"/>
    <w:rsid w:val="008B336B"/>
    <w:rsid w:val="008B34DB"/>
    <w:rsid w:val="008B35A7"/>
    <w:rsid w:val="008B4016"/>
    <w:rsid w:val="008B4614"/>
    <w:rsid w:val="008B4774"/>
    <w:rsid w:val="008B4D4F"/>
    <w:rsid w:val="008B53E4"/>
    <w:rsid w:val="008C1489"/>
    <w:rsid w:val="008C161E"/>
    <w:rsid w:val="008C1A50"/>
    <w:rsid w:val="008C2135"/>
    <w:rsid w:val="008C2316"/>
    <w:rsid w:val="008C291B"/>
    <w:rsid w:val="008C335F"/>
    <w:rsid w:val="008C4D47"/>
    <w:rsid w:val="008C65C4"/>
    <w:rsid w:val="008C6616"/>
    <w:rsid w:val="008C681A"/>
    <w:rsid w:val="008D0018"/>
    <w:rsid w:val="008D132E"/>
    <w:rsid w:val="008D24AA"/>
    <w:rsid w:val="008D2A19"/>
    <w:rsid w:val="008D2E6A"/>
    <w:rsid w:val="008D32D5"/>
    <w:rsid w:val="008D3567"/>
    <w:rsid w:val="008D3570"/>
    <w:rsid w:val="008D386E"/>
    <w:rsid w:val="008D39A6"/>
    <w:rsid w:val="008D4527"/>
    <w:rsid w:val="008D48E3"/>
    <w:rsid w:val="008D4B46"/>
    <w:rsid w:val="008D5049"/>
    <w:rsid w:val="008D547B"/>
    <w:rsid w:val="008D5A68"/>
    <w:rsid w:val="008D6884"/>
    <w:rsid w:val="008D6BF5"/>
    <w:rsid w:val="008D6E9A"/>
    <w:rsid w:val="008D6F4E"/>
    <w:rsid w:val="008D7161"/>
    <w:rsid w:val="008D783A"/>
    <w:rsid w:val="008E0347"/>
    <w:rsid w:val="008E06FF"/>
    <w:rsid w:val="008E0CC8"/>
    <w:rsid w:val="008E110E"/>
    <w:rsid w:val="008E1CEF"/>
    <w:rsid w:val="008E1E77"/>
    <w:rsid w:val="008E35F9"/>
    <w:rsid w:val="008E3641"/>
    <w:rsid w:val="008E4197"/>
    <w:rsid w:val="008E4B58"/>
    <w:rsid w:val="008E5A77"/>
    <w:rsid w:val="008E5F5B"/>
    <w:rsid w:val="008E6501"/>
    <w:rsid w:val="008E685F"/>
    <w:rsid w:val="008E692C"/>
    <w:rsid w:val="008E6CD0"/>
    <w:rsid w:val="008E6D4F"/>
    <w:rsid w:val="008E6F98"/>
    <w:rsid w:val="008E79F9"/>
    <w:rsid w:val="008F02C5"/>
    <w:rsid w:val="008F09DC"/>
    <w:rsid w:val="008F09EB"/>
    <w:rsid w:val="008F0BC2"/>
    <w:rsid w:val="008F0EBB"/>
    <w:rsid w:val="008F1473"/>
    <w:rsid w:val="008F14AD"/>
    <w:rsid w:val="008F1891"/>
    <w:rsid w:val="008F1ECB"/>
    <w:rsid w:val="008F1F69"/>
    <w:rsid w:val="008F2053"/>
    <w:rsid w:val="008F2962"/>
    <w:rsid w:val="008F29A3"/>
    <w:rsid w:val="008F2E20"/>
    <w:rsid w:val="008F2E34"/>
    <w:rsid w:val="008F434D"/>
    <w:rsid w:val="008F4B2E"/>
    <w:rsid w:val="008F52BC"/>
    <w:rsid w:val="008F59D2"/>
    <w:rsid w:val="008F5B15"/>
    <w:rsid w:val="008F5B7D"/>
    <w:rsid w:val="008F5D0B"/>
    <w:rsid w:val="008F67B4"/>
    <w:rsid w:val="008F7615"/>
    <w:rsid w:val="00900040"/>
    <w:rsid w:val="009003C0"/>
    <w:rsid w:val="00900CCB"/>
    <w:rsid w:val="00900D1D"/>
    <w:rsid w:val="009013C1"/>
    <w:rsid w:val="00901714"/>
    <w:rsid w:val="00901742"/>
    <w:rsid w:val="00901B17"/>
    <w:rsid w:val="00901D6B"/>
    <w:rsid w:val="009025A7"/>
    <w:rsid w:val="009025F2"/>
    <w:rsid w:val="00902ADC"/>
    <w:rsid w:val="00903072"/>
    <w:rsid w:val="009030A9"/>
    <w:rsid w:val="0090352C"/>
    <w:rsid w:val="00903B40"/>
    <w:rsid w:val="00903B80"/>
    <w:rsid w:val="00903FF5"/>
    <w:rsid w:val="00904738"/>
    <w:rsid w:val="009057A5"/>
    <w:rsid w:val="0090665E"/>
    <w:rsid w:val="00910FF6"/>
    <w:rsid w:val="009115A1"/>
    <w:rsid w:val="0091197A"/>
    <w:rsid w:val="00912018"/>
    <w:rsid w:val="00912A37"/>
    <w:rsid w:val="00912A4E"/>
    <w:rsid w:val="009133FD"/>
    <w:rsid w:val="00913801"/>
    <w:rsid w:val="0091384A"/>
    <w:rsid w:val="009140AF"/>
    <w:rsid w:val="009157D1"/>
    <w:rsid w:val="009158E4"/>
    <w:rsid w:val="0091599C"/>
    <w:rsid w:val="00915B73"/>
    <w:rsid w:val="0091671D"/>
    <w:rsid w:val="00917354"/>
    <w:rsid w:val="00917B4C"/>
    <w:rsid w:val="00917C8D"/>
    <w:rsid w:val="00917D56"/>
    <w:rsid w:val="00920252"/>
    <w:rsid w:val="00920625"/>
    <w:rsid w:val="009209A9"/>
    <w:rsid w:val="009209DC"/>
    <w:rsid w:val="0092117C"/>
    <w:rsid w:val="009212FD"/>
    <w:rsid w:val="009218D7"/>
    <w:rsid w:val="00922280"/>
    <w:rsid w:val="009223C8"/>
    <w:rsid w:val="009225F3"/>
    <w:rsid w:val="0092289E"/>
    <w:rsid w:val="009228E4"/>
    <w:rsid w:val="00922B23"/>
    <w:rsid w:val="009230BD"/>
    <w:rsid w:val="0092383E"/>
    <w:rsid w:val="00923935"/>
    <w:rsid w:val="00923AC4"/>
    <w:rsid w:val="00923C99"/>
    <w:rsid w:val="00923D8E"/>
    <w:rsid w:val="009242A5"/>
    <w:rsid w:val="0092435B"/>
    <w:rsid w:val="00925077"/>
    <w:rsid w:val="0092575D"/>
    <w:rsid w:val="0092630D"/>
    <w:rsid w:val="00926711"/>
    <w:rsid w:val="0092699C"/>
    <w:rsid w:val="00926C46"/>
    <w:rsid w:val="00926DB9"/>
    <w:rsid w:val="00927299"/>
    <w:rsid w:val="009273F2"/>
    <w:rsid w:val="0092771C"/>
    <w:rsid w:val="00927D7B"/>
    <w:rsid w:val="00931815"/>
    <w:rsid w:val="00932018"/>
    <w:rsid w:val="00932C1E"/>
    <w:rsid w:val="00933AB6"/>
    <w:rsid w:val="00934DC6"/>
    <w:rsid w:val="009350FC"/>
    <w:rsid w:val="0093594F"/>
    <w:rsid w:val="00935F10"/>
    <w:rsid w:val="00936CCB"/>
    <w:rsid w:val="009372BD"/>
    <w:rsid w:val="00937FF4"/>
    <w:rsid w:val="009404DA"/>
    <w:rsid w:val="00940593"/>
    <w:rsid w:val="0094073A"/>
    <w:rsid w:val="009409EB"/>
    <w:rsid w:val="00940DD1"/>
    <w:rsid w:val="00940FEF"/>
    <w:rsid w:val="0094179F"/>
    <w:rsid w:val="00941991"/>
    <w:rsid w:val="00942401"/>
    <w:rsid w:val="00942598"/>
    <w:rsid w:val="009425AF"/>
    <w:rsid w:val="00942C85"/>
    <w:rsid w:val="00942EBF"/>
    <w:rsid w:val="009433F7"/>
    <w:rsid w:val="00944256"/>
    <w:rsid w:val="00944707"/>
    <w:rsid w:val="00944973"/>
    <w:rsid w:val="00944CBA"/>
    <w:rsid w:val="00944D0F"/>
    <w:rsid w:val="00945A23"/>
    <w:rsid w:val="0094698B"/>
    <w:rsid w:val="009474DE"/>
    <w:rsid w:val="00950756"/>
    <w:rsid w:val="0095075E"/>
    <w:rsid w:val="0095081C"/>
    <w:rsid w:val="00951770"/>
    <w:rsid w:val="00951C15"/>
    <w:rsid w:val="00951DAC"/>
    <w:rsid w:val="00951DEF"/>
    <w:rsid w:val="00952BCB"/>
    <w:rsid w:val="00953844"/>
    <w:rsid w:val="009538F1"/>
    <w:rsid w:val="009539D3"/>
    <w:rsid w:val="009540F1"/>
    <w:rsid w:val="0095442E"/>
    <w:rsid w:val="009555AF"/>
    <w:rsid w:val="0095577D"/>
    <w:rsid w:val="0095580A"/>
    <w:rsid w:val="00956220"/>
    <w:rsid w:val="00957BCC"/>
    <w:rsid w:val="00957F29"/>
    <w:rsid w:val="00960566"/>
    <w:rsid w:val="0096074C"/>
    <w:rsid w:val="00961C4F"/>
    <w:rsid w:val="0096238D"/>
    <w:rsid w:val="00962924"/>
    <w:rsid w:val="00962AC9"/>
    <w:rsid w:val="009630E6"/>
    <w:rsid w:val="0096422E"/>
    <w:rsid w:val="00964E48"/>
    <w:rsid w:val="00965412"/>
    <w:rsid w:val="00965671"/>
    <w:rsid w:val="00966600"/>
    <w:rsid w:val="00966CED"/>
    <w:rsid w:val="00967992"/>
    <w:rsid w:val="00967F52"/>
    <w:rsid w:val="00970673"/>
    <w:rsid w:val="00970EBD"/>
    <w:rsid w:val="009718F6"/>
    <w:rsid w:val="00971C29"/>
    <w:rsid w:val="00971C86"/>
    <w:rsid w:val="0097212B"/>
    <w:rsid w:val="009728AB"/>
    <w:rsid w:val="00972983"/>
    <w:rsid w:val="00972ADE"/>
    <w:rsid w:val="00972DA5"/>
    <w:rsid w:val="00973906"/>
    <w:rsid w:val="00973E0A"/>
    <w:rsid w:val="009748E9"/>
    <w:rsid w:val="00974A68"/>
    <w:rsid w:val="00975154"/>
    <w:rsid w:val="0097535B"/>
    <w:rsid w:val="0097666F"/>
    <w:rsid w:val="00976A80"/>
    <w:rsid w:val="00977062"/>
    <w:rsid w:val="00977404"/>
    <w:rsid w:val="0097754E"/>
    <w:rsid w:val="00977897"/>
    <w:rsid w:val="009806DB"/>
    <w:rsid w:val="009807B6"/>
    <w:rsid w:val="00980C94"/>
    <w:rsid w:val="00980D55"/>
    <w:rsid w:val="00981578"/>
    <w:rsid w:val="00982268"/>
    <w:rsid w:val="009825EF"/>
    <w:rsid w:val="009841EC"/>
    <w:rsid w:val="00984882"/>
    <w:rsid w:val="00984A1B"/>
    <w:rsid w:val="00984F33"/>
    <w:rsid w:val="0098510E"/>
    <w:rsid w:val="0098523B"/>
    <w:rsid w:val="00985431"/>
    <w:rsid w:val="0098561B"/>
    <w:rsid w:val="00985645"/>
    <w:rsid w:val="00985C92"/>
    <w:rsid w:val="00985CC7"/>
    <w:rsid w:val="00985EFB"/>
    <w:rsid w:val="00985F6F"/>
    <w:rsid w:val="00987D95"/>
    <w:rsid w:val="0099045C"/>
    <w:rsid w:val="00990BCD"/>
    <w:rsid w:val="009914D7"/>
    <w:rsid w:val="009917FA"/>
    <w:rsid w:val="0099199F"/>
    <w:rsid w:val="009920F9"/>
    <w:rsid w:val="009924BF"/>
    <w:rsid w:val="00992D19"/>
    <w:rsid w:val="00993162"/>
    <w:rsid w:val="00993ABE"/>
    <w:rsid w:val="00993F26"/>
    <w:rsid w:val="00994C63"/>
    <w:rsid w:val="00994D6F"/>
    <w:rsid w:val="00995A57"/>
    <w:rsid w:val="00996A13"/>
    <w:rsid w:val="009973C9"/>
    <w:rsid w:val="0099757D"/>
    <w:rsid w:val="00997C75"/>
    <w:rsid w:val="00997FBC"/>
    <w:rsid w:val="009A0540"/>
    <w:rsid w:val="009A1702"/>
    <w:rsid w:val="009A231A"/>
    <w:rsid w:val="009A2587"/>
    <w:rsid w:val="009A261E"/>
    <w:rsid w:val="009A266D"/>
    <w:rsid w:val="009A3B20"/>
    <w:rsid w:val="009A3B69"/>
    <w:rsid w:val="009A465D"/>
    <w:rsid w:val="009A4C0F"/>
    <w:rsid w:val="009A4EE1"/>
    <w:rsid w:val="009A5213"/>
    <w:rsid w:val="009A52DC"/>
    <w:rsid w:val="009A55B4"/>
    <w:rsid w:val="009A56B5"/>
    <w:rsid w:val="009A655C"/>
    <w:rsid w:val="009B06FB"/>
    <w:rsid w:val="009B07F5"/>
    <w:rsid w:val="009B09C8"/>
    <w:rsid w:val="009B199B"/>
    <w:rsid w:val="009B1E3B"/>
    <w:rsid w:val="009B2ECF"/>
    <w:rsid w:val="009B33DA"/>
    <w:rsid w:val="009B35F6"/>
    <w:rsid w:val="009B3692"/>
    <w:rsid w:val="009B3FC6"/>
    <w:rsid w:val="009B47DB"/>
    <w:rsid w:val="009B4AB6"/>
    <w:rsid w:val="009B5346"/>
    <w:rsid w:val="009B541F"/>
    <w:rsid w:val="009B5AEA"/>
    <w:rsid w:val="009B5B63"/>
    <w:rsid w:val="009B5F26"/>
    <w:rsid w:val="009B62C2"/>
    <w:rsid w:val="009B64DC"/>
    <w:rsid w:val="009B6539"/>
    <w:rsid w:val="009B66B8"/>
    <w:rsid w:val="009B6B4E"/>
    <w:rsid w:val="009B6BEE"/>
    <w:rsid w:val="009B7C37"/>
    <w:rsid w:val="009B7D2D"/>
    <w:rsid w:val="009C02A5"/>
    <w:rsid w:val="009C0415"/>
    <w:rsid w:val="009C068F"/>
    <w:rsid w:val="009C0E03"/>
    <w:rsid w:val="009C10DB"/>
    <w:rsid w:val="009C1317"/>
    <w:rsid w:val="009C2D3E"/>
    <w:rsid w:val="009C309A"/>
    <w:rsid w:val="009C31F6"/>
    <w:rsid w:val="009C38AC"/>
    <w:rsid w:val="009C4259"/>
    <w:rsid w:val="009C66D7"/>
    <w:rsid w:val="009C6A19"/>
    <w:rsid w:val="009C7AF4"/>
    <w:rsid w:val="009C7FBB"/>
    <w:rsid w:val="009D0187"/>
    <w:rsid w:val="009D0F41"/>
    <w:rsid w:val="009D1A41"/>
    <w:rsid w:val="009D1AC3"/>
    <w:rsid w:val="009D1E80"/>
    <w:rsid w:val="009D2C3A"/>
    <w:rsid w:val="009D2C93"/>
    <w:rsid w:val="009D3E91"/>
    <w:rsid w:val="009D4444"/>
    <w:rsid w:val="009D46D7"/>
    <w:rsid w:val="009D4F32"/>
    <w:rsid w:val="009D559E"/>
    <w:rsid w:val="009D66AD"/>
    <w:rsid w:val="009D67BA"/>
    <w:rsid w:val="009D6B2B"/>
    <w:rsid w:val="009D7234"/>
    <w:rsid w:val="009D7AA5"/>
    <w:rsid w:val="009D7E84"/>
    <w:rsid w:val="009E0633"/>
    <w:rsid w:val="009E0732"/>
    <w:rsid w:val="009E1353"/>
    <w:rsid w:val="009E207E"/>
    <w:rsid w:val="009E21FD"/>
    <w:rsid w:val="009E2E72"/>
    <w:rsid w:val="009E3057"/>
    <w:rsid w:val="009E3166"/>
    <w:rsid w:val="009E487A"/>
    <w:rsid w:val="009E4D79"/>
    <w:rsid w:val="009E507F"/>
    <w:rsid w:val="009E5F5E"/>
    <w:rsid w:val="009E679D"/>
    <w:rsid w:val="009E6F99"/>
    <w:rsid w:val="009E73EA"/>
    <w:rsid w:val="009E7BC6"/>
    <w:rsid w:val="009E7F2A"/>
    <w:rsid w:val="009F17EB"/>
    <w:rsid w:val="009F1A8A"/>
    <w:rsid w:val="009F2786"/>
    <w:rsid w:val="009F32AC"/>
    <w:rsid w:val="009F341A"/>
    <w:rsid w:val="009F3FB7"/>
    <w:rsid w:val="009F4016"/>
    <w:rsid w:val="009F4A7F"/>
    <w:rsid w:val="009F525C"/>
    <w:rsid w:val="009F5333"/>
    <w:rsid w:val="009F5B3C"/>
    <w:rsid w:val="009F6374"/>
    <w:rsid w:val="009F70CD"/>
    <w:rsid w:val="009F7170"/>
    <w:rsid w:val="009F76DD"/>
    <w:rsid w:val="009F7E4B"/>
    <w:rsid w:val="00A00258"/>
    <w:rsid w:val="00A002C7"/>
    <w:rsid w:val="00A00867"/>
    <w:rsid w:val="00A0120D"/>
    <w:rsid w:val="00A013D2"/>
    <w:rsid w:val="00A016B3"/>
    <w:rsid w:val="00A01722"/>
    <w:rsid w:val="00A02A37"/>
    <w:rsid w:val="00A040D0"/>
    <w:rsid w:val="00A04D76"/>
    <w:rsid w:val="00A05206"/>
    <w:rsid w:val="00A059EB"/>
    <w:rsid w:val="00A05A43"/>
    <w:rsid w:val="00A05D40"/>
    <w:rsid w:val="00A06001"/>
    <w:rsid w:val="00A06EF7"/>
    <w:rsid w:val="00A070E2"/>
    <w:rsid w:val="00A07E81"/>
    <w:rsid w:val="00A1036A"/>
    <w:rsid w:val="00A10421"/>
    <w:rsid w:val="00A10925"/>
    <w:rsid w:val="00A11141"/>
    <w:rsid w:val="00A1166E"/>
    <w:rsid w:val="00A1281D"/>
    <w:rsid w:val="00A12A30"/>
    <w:rsid w:val="00A14065"/>
    <w:rsid w:val="00A15468"/>
    <w:rsid w:val="00A154DB"/>
    <w:rsid w:val="00A15736"/>
    <w:rsid w:val="00A1633C"/>
    <w:rsid w:val="00A16597"/>
    <w:rsid w:val="00A16644"/>
    <w:rsid w:val="00A17418"/>
    <w:rsid w:val="00A17466"/>
    <w:rsid w:val="00A178A4"/>
    <w:rsid w:val="00A204F6"/>
    <w:rsid w:val="00A20682"/>
    <w:rsid w:val="00A21072"/>
    <w:rsid w:val="00A21444"/>
    <w:rsid w:val="00A215A8"/>
    <w:rsid w:val="00A23D52"/>
    <w:rsid w:val="00A24E86"/>
    <w:rsid w:val="00A256CB"/>
    <w:rsid w:val="00A2591D"/>
    <w:rsid w:val="00A259E0"/>
    <w:rsid w:val="00A26073"/>
    <w:rsid w:val="00A26968"/>
    <w:rsid w:val="00A26BBF"/>
    <w:rsid w:val="00A26C30"/>
    <w:rsid w:val="00A26E6A"/>
    <w:rsid w:val="00A27618"/>
    <w:rsid w:val="00A278A0"/>
    <w:rsid w:val="00A27B1B"/>
    <w:rsid w:val="00A27C67"/>
    <w:rsid w:val="00A30E6E"/>
    <w:rsid w:val="00A30EAE"/>
    <w:rsid w:val="00A316B4"/>
    <w:rsid w:val="00A31B0C"/>
    <w:rsid w:val="00A31BEF"/>
    <w:rsid w:val="00A32870"/>
    <w:rsid w:val="00A32E92"/>
    <w:rsid w:val="00A336A7"/>
    <w:rsid w:val="00A33AF9"/>
    <w:rsid w:val="00A34546"/>
    <w:rsid w:val="00A34BD3"/>
    <w:rsid w:val="00A35946"/>
    <w:rsid w:val="00A35E78"/>
    <w:rsid w:val="00A37435"/>
    <w:rsid w:val="00A3784B"/>
    <w:rsid w:val="00A378A0"/>
    <w:rsid w:val="00A37CF4"/>
    <w:rsid w:val="00A40F4D"/>
    <w:rsid w:val="00A41C88"/>
    <w:rsid w:val="00A41EAF"/>
    <w:rsid w:val="00A421AD"/>
    <w:rsid w:val="00A429AB"/>
    <w:rsid w:val="00A42AE9"/>
    <w:rsid w:val="00A42E31"/>
    <w:rsid w:val="00A42EE0"/>
    <w:rsid w:val="00A42F50"/>
    <w:rsid w:val="00A439CC"/>
    <w:rsid w:val="00A443E1"/>
    <w:rsid w:val="00A4464D"/>
    <w:rsid w:val="00A46795"/>
    <w:rsid w:val="00A46804"/>
    <w:rsid w:val="00A46937"/>
    <w:rsid w:val="00A46C85"/>
    <w:rsid w:val="00A473FD"/>
    <w:rsid w:val="00A47663"/>
    <w:rsid w:val="00A47E11"/>
    <w:rsid w:val="00A47E21"/>
    <w:rsid w:val="00A500F8"/>
    <w:rsid w:val="00A5043B"/>
    <w:rsid w:val="00A50B34"/>
    <w:rsid w:val="00A51499"/>
    <w:rsid w:val="00A51981"/>
    <w:rsid w:val="00A5236D"/>
    <w:rsid w:val="00A52B34"/>
    <w:rsid w:val="00A5376C"/>
    <w:rsid w:val="00A53A80"/>
    <w:rsid w:val="00A53D57"/>
    <w:rsid w:val="00A53EDD"/>
    <w:rsid w:val="00A5439F"/>
    <w:rsid w:val="00A54A99"/>
    <w:rsid w:val="00A54EA5"/>
    <w:rsid w:val="00A54F6B"/>
    <w:rsid w:val="00A55F07"/>
    <w:rsid w:val="00A56671"/>
    <w:rsid w:val="00A5669A"/>
    <w:rsid w:val="00A57EBD"/>
    <w:rsid w:val="00A612B0"/>
    <w:rsid w:val="00A61B2B"/>
    <w:rsid w:val="00A61C12"/>
    <w:rsid w:val="00A6233A"/>
    <w:rsid w:val="00A62CA6"/>
    <w:rsid w:val="00A63B36"/>
    <w:rsid w:val="00A64A10"/>
    <w:rsid w:val="00A64CE8"/>
    <w:rsid w:val="00A64D1B"/>
    <w:rsid w:val="00A7003B"/>
    <w:rsid w:val="00A702D8"/>
    <w:rsid w:val="00A706B0"/>
    <w:rsid w:val="00A7079B"/>
    <w:rsid w:val="00A70F9A"/>
    <w:rsid w:val="00A71915"/>
    <w:rsid w:val="00A71971"/>
    <w:rsid w:val="00A737D7"/>
    <w:rsid w:val="00A7423B"/>
    <w:rsid w:val="00A74DDC"/>
    <w:rsid w:val="00A755E8"/>
    <w:rsid w:val="00A760DF"/>
    <w:rsid w:val="00A761A3"/>
    <w:rsid w:val="00A7755C"/>
    <w:rsid w:val="00A778B0"/>
    <w:rsid w:val="00A8017B"/>
    <w:rsid w:val="00A8069D"/>
    <w:rsid w:val="00A8157E"/>
    <w:rsid w:val="00A81DED"/>
    <w:rsid w:val="00A826F6"/>
    <w:rsid w:val="00A82957"/>
    <w:rsid w:val="00A82DF5"/>
    <w:rsid w:val="00A830D4"/>
    <w:rsid w:val="00A83408"/>
    <w:rsid w:val="00A835C4"/>
    <w:rsid w:val="00A836BC"/>
    <w:rsid w:val="00A860DB"/>
    <w:rsid w:val="00A86A05"/>
    <w:rsid w:val="00A86C7A"/>
    <w:rsid w:val="00A86F6B"/>
    <w:rsid w:val="00A87794"/>
    <w:rsid w:val="00A878C3"/>
    <w:rsid w:val="00A87B6B"/>
    <w:rsid w:val="00A9079C"/>
    <w:rsid w:val="00A91B1C"/>
    <w:rsid w:val="00A943B8"/>
    <w:rsid w:val="00A94D50"/>
    <w:rsid w:val="00A94E3D"/>
    <w:rsid w:val="00A94EE2"/>
    <w:rsid w:val="00A960D1"/>
    <w:rsid w:val="00A96327"/>
    <w:rsid w:val="00A96334"/>
    <w:rsid w:val="00A96F1E"/>
    <w:rsid w:val="00A975E2"/>
    <w:rsid w:val="00A97D4C"/>
    <w:rsid w:val="00A97E69"/>
    <w:rsid w:val="00AA0724"/>
    <w:rsid w:val="00AA08B2"/>
    <w:rsid w:val="00AA1310"/>
    <w:rsid w:val="00AA160C"/>
    <w:rsid w:val="00AA25CF"/>
    <w:rsid w:val="00AA336E"/>
    <w:rsid w:val="00AA3844"/>
    <w:rsid w:val="00AA3A89"/>
    <w:rsid w:val="00AA4E6C"/>
    <w:rsid w:val="00AA514C"/>
    <w:rsid w:val="00AA7F42"/>
    <w:rsid w:val="00AA7F6B"/>
    <w:rsid w:val="00AB10EB"/>
    <w:rsid w:val="00AB597A"/>
    <w:rsid w:val="00AB63CA"/>
    <w:rsid w:val="00AB73DD"/>
    <w:rsid w:val="00AB7665"/>
    <w:rsid w:val="00AB7A0D"/>
    <w:rsid w:val="00AC0E4E"/>
    <w:rsid w:val="00AC0E58"/>
    <w:rsid w:val="00AC11AA"/>
    <w:rsid w:val="00AC1799"/>
    <w:rsid w:val="00AC268D"/>
    <w:rsid w:val="00AC2C93"/>
    <w:rsid w:val="00AC2F23"/>
    <w:rsid w:val="00AC5B04"/>
    <w:rsid w:val="00AC7057"/>
    <w:rsid w:val="00AC7B6C"/>
    <w:rsid w:val="00AC7BF3"/>
    <w:rsid w:val="00AC7CB6"/>
    <w:rsid w:val="00AC7D1E"/>
    <w:rsid w:val="00AD0074"/>
    <w:rsid w:val="00AD210A"/>
    <w:rsid w:val="00AD2584"/>
    <w:rsid w:val="00AD2A78"/>
    <w:rsid w:val="00AD2FA7"/>
    <w:rsid w:val="00AD2FD0"/>
    <w:rsid w:val="00AD31F9"/>
    <w:rsid w:val="00AD37ED"/>
    <w:rsid w:val="00AD3AAF"/>
    <w:rsid w:val="00AD3D32"/>
    <w:rsid w:val="00AD427C"/>
    <w:rsid w:val="00AD42BA"/>
    <w:rsid w:val="00AD435A"/>
    <w:rsid w:val="00AD522B"/>
    <w:rsid w:val="00AD53D7"/>
    <w:rsid w:val="00AD5892"/>
    <w:rsid w:val="00AD674C"/>
    <w:rsid w:val="00AD69A4"/>
    <w:rsid w:val="00AD6D65"/>
    <w:rsid w:val="00AD6FD5"/>
    <w:rsid w:val="00AD716E"/>
    <w:rsid w:val="00AD745B"/>
    <w:rsid w:val="00AD78BD"/>
    <w:rsid w:val="00AE0651"/>
    <w:rsid w:val="00AE167A"/>
    <w:rsid w:val="00AE1D1D"/>
    <w:rsid w:val="00AE1D37"/>
    <w:rsid w:val="00AE20C4"/>
    <w:rsid w:val="00AE2C54"/>
    <w:rsid w:val="00AE2CFF"/>
    <w:rsid w:val="00AE3BE4"/>
    <w:rsid w:val="00AE3DF9"/>
    <w:rsid w:val="00AE4C7F"/>
    <w:rsid w:val="00AE5178"/>
    <w:rsid w:val="00AE67DD"/>
    <w:rsid w:val="00AE708B"/>
    <w:rsid w:val="00AE7F2E"/>
    <w:rsid w:val="00AF007C"/>
    <w:rsid w:val="00AF0759"/>
    <w:rsid w:val="00AF0C91"/>
    <w:rsid w:val="00AF1BEF"/>
    <w:rsid w:val="00AF1DB8"/>
    <w:rsid w:val="00AF27B4"/>
    <w:rsid w:val="00AF2A8C"/>
    <w:rsid w:val="00AF2B0F"/>
    <w:rsid w:val="00AF2BCD"/>
    <w:rsid w:val="00AF3819"/>
    <w:rsid w:val="00AF3EAB"/>
    <w:rsid w:val="00AF42ED"/>
    <w:rsid w:val="00AF48F1"/>
    <w:rsid w:val="00AF4CA3"/>
    <w:rsid w:val="00AF4EA3"/>
    <w:rsid w:val="00AF51DD"/>
    <w:rsid w:val="00AF5992"/>
    <w:rsid w:val="00AF60EB"/>
    <w:rsid w:val="00AF6A90"/>
    <w:rsid w:val="00AF7AF3"/>
    <w:rsid w:val="00B00128"/>
    <w:rsid w:val="00B00E0E"/>
    <w:rsid w:val="00B0155D"/>
    <w:rsid w:val="00B019A2"/>
    <w:rsid w:val="00B02BEF"/>
    <w:rsid w:val="00B03B49"/>
    <w:rsid w:val="00B03D16"/>
    <w:rsid w:val="00B03FC8"/>
    <w:rsid w:val="00B04AA6"/>
    <w:rsid w:val="00B04EEF"/>
    <w:rsid w:val="00B04F83"/>
    <w:rsid w:val="00B050EA"/>
    <w:rsid w:val="00B056B0"/>
    <w:rsid w:val="00B062A4"/>
    <w:rsid w:val="00B068C2"/>
    <w:rsid w:val="00B06989"/>
    <w:rsid w:val="00B06F8A"/>
    <w:rsid w:val="00B0775F"/>
    <w:rsid w:val="00B07A49"/>
    <w:rsid w:val="00B07EAB"/>
    <w:rsid w:val="00B106CB"/>
    <w:rsid w:val="00B110C6"/>
    <w:rsid w:val="00B11250"/>
    <w:rsid w:val="00B115DB"/>
    <w:rsid w:val="00B11BD3"/>
    <w:rsid w:val="00B12046"/>
    <w:rsid w:val="00B12248"/>
    <w:rsid w:val="00B12933"/>
    <w:rsid w:val="00B12B20"/>
    <w:rsid w:val="00B131F8"/>
    <w:rsid w:val="00B136F2"/>
    <w:rsid w:val="00B14F42"/>
    <w:rsid w:val="00B15178"/>
    <w:rsid w:val="00B15798"/>
    <w:rsid w:val="00B15CBB"/>
    <w:rsid w:val="00B15EB8"/>
    <w:rsid w:val="00B1661E"/>
    <w:rsid w:val="00B16FF6"/>
    <w:rsid w:val="00B17EB9"/>
    <w:rsid w:val="00B2147D"/>
    <w:rsid w:val="00B2178E"/>
    <w:rsid w:val="00B21CCE"/>
    <w:rsid w:val="00B22029"/>
    <w:rsid w:val="00B22105"/>
    <w:rsid w:val="00B2263C"/>
    <w:rsid w:val="00B22D51"/>
    <w:rsid w:val="00B234E3"/>
    <w:rsid w:val="00B23F2D"/>
    <w:rsid w:val="00B26A62"/>
    <w:rsid w:val="00B26E57"/>
    <w:rsid w:val="00B271DF"/>
    <w:rsid w:val="00B27ABC"/>
    <w:rsid w:val="00B3059E"/>
    <w:rsid w:val="00B30AA4"/>
    <w:rsid w:val="00B31DAD"/>
    <w:rsid w:val="00B32628"/>
    <w:rsid w:val="00B32935"/>
    <w:rsid w:val="00B33743"/>
    <w:rsid w:val="00B33D10"/>
    <w:rsid w:val="00B3459C"/>
    <w:rsid w:val="00B35571"/>
    <w:rsid w:val="00B35B51"/>
    <w:rsid w:val="00B35DAE"/>
    <w:rsid w:val="00B363B6"/>
    <w:rsid w:val="00B3720B"/>
    <w:rsid w:val="00B3736C"/>
    <w:rsid w:val="00B37A4A"/>
    <w:rsid w:val="00B40C4E"/>
    <w:rsid w:val="00B414A9"/>
    <w:rsid w:val="00B416CC"/>
    <w:rsid w:val="00B41F4F"/>
    <w:rsid w:val="00B4217A"/>
    <w:rsid w:val="00B421CE"/>
    <w:rsid w:val="00B42B9A"/>
    <w:rsid w:val="00B43D21"/>
    <w:rsid w:val="00B43ED7"/>
    <w:rsid w:val="00B442EF"/>
    <w:rsid w:val="00B4447F"/>
    <w:rsid w:val="00B44953"/>
    <w:rsid w:val="00B44B6A"/>
    <w:rsid w:val="00B44EEA"/>
    <w:rsid w:val="00B44F78"/>
    <w:rsid w:val="00B45155"/>
    <w:rsid w:val="00B4558A"/>
    <w:rsid w:val="00B45B08"/>
    <w:rsid w:val="00B46062"/>
    <w:rsid w:val="00B464DE"/>
    <w:rsid w:val="00B46770"/>
    <w:rsid w:val="00B47A19"/>
    <w:rsid w:val="00B50041"/>
    <w:rsid w:val="00B511E4"/>
    <w:rsid w:val="00B5157E"/>
    <w:rsid w:val="00B5295A"/>
    <w:rsid w:val="00B52A39"/>
    <w:rsid w:val="00B53A9B"/>
    <w:rsid w:val="00B540A3"/>
    <w:rsid w:val="00B54746"/>
    <w:rsid w:val="00B549B0"/>
    <w:rsid w:val="00B54E7B"/>
    <w:rsid w:val="00B54E9A"/>
    <w:rsid w:val="00B561E4"/>
    <w:rsid w:val="00B569F2"/>
    <w:rsid w:val="00B56FB8"/>
    <w:rsid w:val="00B57BE1"/>
    <w:rsid w:val="00B57F5B"/>
    <w:rsid w:val="00B60BAE"/>
    <w:rsid w:val="00B60C80"/>
    <w:rsid w:val="00B6137B"/>
    <w:rsid w:val="00B625D9"/>
    <w:rsid w:val="00B626FC"/>
    <w:rsid w:val="00B62B10"/>
    <w:rsid w:val="00B647AB"/>
    <w:rsid w:val="00B64BC5"/>
    <w:rsid w:val="00B64EB3"/>
    <w:rsid w:val="00B6521B"/>
    <w:rsid w:val="00B6534D"/>
    <w:rsid w:val="00B65E07"/>
    <w:rsid w:val="00B66B21"/>
    <w:rsid w:val="00B6714B"/>
    <w:rsid w:val="00B67AA4"/>
    <w:rsid w:val="00B67AC3"/>
    <w:rsid w:val="00B70134"/>
    <w:rsid w:val="00B70390"/>
    <w:rsid w:val="00B70965"/>
    <w:rsid w:val="00B70FE2"/>
    <w:rsid w:val="00B7126E"/>
    <w:rsid w:val="00B712AB"/>
    <w:rsid w:val="00B716B0"/>
    <w:rsid w:val="00B7258E"/>
    <w:rsid w:val="00B73683"/>
    <w:rsid w:val="00B736B0"/>
    <w:rsid w:val="00B73BD9"/>
    <w:rsid w:val="00B7447C"/>
    <w:rsid w:val="00B748F1"/>
    <w:rsid w:val="00B75289"/>
    <w:rsid w:val="00B7531F"/>
    <w:rsid w:val="00B75654"/>
    <w:rsid w:val="00B761A7"/>
    <w:rsid w:val="00B761E3"/>
    <w:rsid w:val="00B7627F"/>
    <w:rsid w:val="00B77456"/>
    <w:rsid w:val="00B80547"/>
    <w:rsid w:val="00B80E65"/>
    <w:rsid w:val="00B816E6"/>
    <w:rsid w:val="00B82135"/>
    <w:rsid w:val="00B821AA"/>
    <w:rsid w:val="00B83723"/>
    <w:rsid w:val="00B83BA9"/>
    <w:rsid w:val="00B83DB9"/>
    <w:rsid w:val="00B84029"/>
    <w:rsid w:val="00B846FE"/>
    <w:rsid w:val="00B84B7F"/>
    <w:rsid w:val="00B85172"/>
    <w:rsid w:val="00B85FEE"/>
    <w:rsid w:val="00B86283"/>
    <w:rsid w:val="00B864ED"/>
    <w:rsid w:val="00B86938"/>
    <w:rsid w:val="00B86C69"/>
    <w:rsid w:val="00B87161"/>
    <w:rsid w:val="00B87193"/>
    <w:rsid w:val="00B87410"/>
    <w:rsid w:val="00B8783D"/>
    <w:rsid w:val="00B900B2"/>
    <w:rsid w:val="00B9012E"/>
    <w:rsid w:val="00B90374"/>
    <w:rsid w:val="00B90569"/>
    <w:rsid w:val="00B90844"/>
    <w:rsid w:val="00B909A1"/>
    <w:rsid w:val="00B91497"/>
    <w:rsid w:val="00B919E9"/>
    <w:rsid w:val="00B921B8"/>
    <w:rsid w:val="00B92508"/>
    <w:rsid w:val="00B925FF"/>
    <w:rsid w:val="00B92C72"/>
    <w:rsid w:val="00B934EA"/>
    <w:rsid w:val="00B9539F"/>
    <w:rsid w:val="00B95C8B"/>
    <w:rsid w:val="00B95F25"/>
    <w:rsid w:val="00B96326"/>
    <w:rsid w:val="00B96F95"/>
    <w:rsid w:val="00B973D9"/>
    <w:rsid w:val="00B9753A"/>
    <w:rsid w:val="00BA0AFD"/>
    <w:rsid w:val="00BA1DC6"/>
    <w:rsid w:val="00BA1EAC"/>
    <w:rsid w:val="00BA2154"/>
    <w:rsid w:val="00BA24B1"/>
    <w:rsid w:val="00BA2EAC"/>
    <w:rsid w:val="00BA3200"/>
    <w:rsid w:val="00BA344A"/>
    <w:rsid w:val="00BA35F3"/>
    <w:rsid w:val="00BA393B"/>
    <w:rsid w:val="00BA4100"/>
    <w:rsid w:val="00BA43F2"/>
    <w:rsid w:val="00BA4561"/>
    <w:rsid w:val="00BA4E20"/>
    <w:rsid w:val="00BA516D"/>
    <w:rsid w:val="00BA6261"/>
    <w:rsid w:val="00BA6907"/>
    <w:rsid w:val="00BA69A9"/>
    <w:rsid w:val="00BA6E07"/>
    <w:rsid w:val="00BA7001"/>
    <w:rsid w:val="00BA732E"/>
    <w:rsid w:val="00BA7C12"/>
    <w:rsid w:val="00BA7D7D"/>
    <w:rsid w:val="00BB03E4"/>
    <w:rsid w:val="00BB12D0"/>
    <w:rsid w:val="00BB168C"/>
    <w:rsid w:val="00BB19FC"/>
    <w:rsid w:val="00BB1D3E"/>
    <w:rsid w:val="00BB23AC"/>
    <w:rsid w:val="00BB242E"/>
    <w:rsid w:val="00BB26AA"/>
    <w:rsid w:val="00BB3356"/>
    <w:rsid w:val="00BB451D"/>
    <w:rsid w:val="00BB5048"/>
    <w:rsid w:val="00BB54C5"/>
    <w:rsid w:val="00BB6616"/>
    <w:rsid w:val="00BB6C54"/>
    <w:rsid w:val="00BB7038"/>
    <w:rsid w:val="00BB73CF"/>
    <w:rsid w:val="00BC00FB"/>
    <w:rsid w:val="00BC089D"/>
    <w:rsid w:val="00BC101E"/>
    <w:rsid w:val="00BC114A"/>
    <w:rsid w:val="00BC1B7A"/>
    <w:rsid w:val="00BC1B87"/>
    <w:rsid w:val="00BC1EE3"/>
    <w:rsid w:val="00BC419F"/>
    <w:rsid w:val="00BC4992"/>
    <w:rsid w:val="00BC4B5D"/>
    <w:rsid w:val="00BC594B"/>
    <w:rsid w:val="00BC5DB5"/>
    <w:rsid w:val="00BC6379"/>
    <w:rsid w:val="00BC64B8"/>
    <w:rsid w:val="00BC726C"/>
    <w:rsid w:val="00BC7500"/>
    <w:rsid w:val="00BC7F59"/>
    <w:rsid w:val="00BD06C5"/>
    <w:rsid w:val="00BD07BE"/>
    <w:rsid w:val="00BD0C98"/>
    <w:rsid w:val="00BD0E02"/>
    <w:rsid w:val="00BD1324"/>
    <w:rsid w:val="00BD1363"/>
    <w:rsid w:val="00BD1559"/>
    <w:rsid w:val="00BD17D3"/>
    <w:rsid w:val="00BD20C5"/>
    <w:rsid w:val="00BD25F9"/>
    <w:rsid w:val="00BD2D85"/>
    <w:rsid w:val="00BD355E"/>
    <w:rsid w:val="00BD378D"/>
    <w:rsid w:val="00BD37C0"/>
    <w:rsid w:val="00BD391A"/>
    <w:rsid w:val="00BD39B8"/>
    <w:rsid w:val="00BD41E9"/>
    <w:rsid w:val="00BD447E"/>
    <w:rsid w:val="00BD46C2"/>
    <w:rsid w:val="00BD5DE0"/>
    <w:rsid w:val="00BD6620"/>
    <w:rsid w:val="00BD6661"/>
    <w:rsid w:val="00BD67DB"/>
    <w:rsid w:val="00BD6926"/>
    <w:rsid w:val="00BD69BB"/>
    <w:rsid w:val="00BD728B"/>
    <w:rsid w:val="00BD79A7"/>
    <w:rsid w:val="00BE0262"/>
    <w:rsid w:val="00BE04DE"/>
    <w:rsid w:val="00BE0887"/>
    <w:rsid w:val="00BE0CFB"/>
    <w:rsid w:val="00BE158B"/>
    <w:rsid w:val="00BE2160"/>
    <w:rsid w:val="00BE26A2"/>
    <w:rsid w:val="00BE2990"/>
    <w:rsid w:val="00BE367B"/>
    <w:rsid w:val="00BE3B80"/>
    <w:rsid w:val="00BE3EA8"/>
    <w:rsid w:val="00BE41FA"/>
    <w:rsid w:val="00BE42E3"/>
    <w:rsid w:val="00BE464B"/>
    <w:rsid w:val="00BE58A1"/>
    <w:rsid w:val="00BE5995"/>
    <w:rsid w:val="00BE6472"/>
    <w:rsid w:val="00BE6B0E"/>
    <w:rsid w:val="00BE6B54"/>
    <w:rsid w:val="00BE7803"/>
    <w:rsid w:val="00BF0725"/>
    <w:rsid w:val="00BF16B3"/>
    <w:rsid w:val="00BF17AA"/>
    <w:rsid w:val="00BF2239"/>
    <w:rsid w:val="00BF37E7"/>
    <w:rsid w:val="00BF3A19"/>
    <w:rsid w:val="00BF5903"/>
    <w:rsid w:val="00BF7FF2"/>
    <w:rsid w:val="00C006F0"/>
    <w:rsid w:val="00C00C4B"/>
    <w:rsid w:val="00C0350F"/>
    <w:rsid w:val="00C0357F"/>
    <w:rsid w:val="00C04AE3"/>
    <w:rsid w:val="00C04B85"/>
    <w:rsid w:val="00C050B0"/>
    <w:rsid w:val="00C05806"/>
    <w:rsid w:val="00C0684C"/>
    <w:rsid w:val="00C06E6B"/>
    <w:rsid w:val="00C07322"/>
    <w:rsid w:val="00C07DC6"/>
    <w:rsid w:val="00C10615"/>
    <w:rsid w:val="00C11F2B"/>
    <w:rsid w:val="00C12A52"/>
    <w:rsid w:val="00C12BB1"/>
    <w:rsid w:val="00C12D86"/>
    <w:rsid w:val="00C139F6"/>
    <w:rsid w:val="00C14376"/>
    <w:rsid w:val="00C145A7"/>
    <w:rsid w:val="00C145C3"/>
    <w:rsid w:val="00C14C76"/>
    <w:rsid w:val="00C14C90"/>
    <w:rsid w:val="00C15115"/>
    <w:rsid w:val="00C1527B"/>
    <w:rsid w:val="00C15DEF"/>
    <w:rsid w:val="00C16FA7"/>
    <w:rsid w:val="00C17670"/>
    <w:rsid w:val="00C17761"/>
    <w:rsid w:val="00C17BD9"/>
    <w:rsid w:val="00C17C0D"/>
    <w:rsid w:val="00C17E68"/>
    <w:rsid w:val="00C205FC"/>
    <w:rsid w:val="00C21627"/>
    <w:rsid w:val="00C22680"/>
    <w:rsid w:val="00C22BE9"/>
    <w:rsid w:val="00C232E2"/>
    <w:rsid w:val="00C234A8"/>
    <w:rsid w:val="00C23CD7"/>
    <w:rsid w:val="00C24420"/>
    <w:rsid w:val="00C246F9"/>
    <w:rsid w:val="00C248CB"/>
    <w:rsid w:val="00C252A9"/>
    <w:rsid w:val="00C2562C"/>
    <w:rsid w:val="00C2720B"/>
    <w:rsid w:val="00C272D4"/>
    <w:rsid w:val="00C27998"/>
    <w:rsid w:val="00C27ACB"/>
    <w:rsid w:val="00C27F20"/>
    <w:rsid w:val="00C300D2"/>
    <w:rsid w:val="00C30381"/>
    <w:rsid w:val="00C310A2"/>
    <w:rsid w:val="00C31915"/>
    <w:rsid w:val="00C31A85"/>
    <w:rsid w:val="00C3254D"/>
    <w:rsid w:val="00C32A48"/>
    <w:rsid w:val="00C32CA2"/>
    <w:rsid w:val="00C35192"/>
    <w:rsid w:val="00C35420"/>
    <w:rsid w:val="00C35D6E"/>
    <w:rsid w:val="00C363C7"/>
    <w:rsid w:val="00C36AE2"/>
    <w:rsid w:val="00C37104"/>
    <w:rsid w:val="00C37162"/>
    <w:rsid w:val="00C375B5"/>
    <w:rsid w:val="00C376A6"/>
    <w:rsid w:val="00C3771E"/>
    <w:rsid w:val="00C37C9F"/>
    <w:rsid w:val="00C37D43"/>
    <w:rsid w:val="00C402C6"/>
    <w:rsid w:val="00C40368"/>
    <w:rsid w:val="00C4260D"/>
    <w:rsid w:val="00C42A9E"/>
    <w:rsid w:val="00C433E0"/>
    <w:rsid w:val="00C44811"/>
    <w:rsid w:val="00C44A35"/>
    <w:rsid w:val="00C44D5D"/>
    <w:rsid w:val="00C450C0"/>
    <w:rsid w:val="00C45B40"/>
    <w:rsid w:val="00C46678"/>
    <w:rsid w:val="00C46887"/>
    <w:rsid w:val="00C471B1"/>
    <w:rsid w:val="00C471C7"/>
    <w:rsid w:val="00C4751F"/>
    <w:rsid w:val="00C4788D"/>
    <w:rsid w:val="00C5002A"/>
    <w:rsid w:val="00C5006B"/>
    <w:rsid w:val="00C50412"/>
    <w:rsid w:val="00C504E0"/>
    <w:rsid w:val="00C505F9"/>
    <w:rsid w:val="00C50D41"/>
    <w:rsid w:val="00C50E8C"/>
    <w:rsid w:val="00C5299B"/>
    <w:rsid w:val="00C535D0"/>
    <w:rsid w:val="00C55954"/>
    <w:rsid w:val="00C56A62"/>
    <w:rsid w:val="00C56C34"/>
    <w:rsid w:val="00C5775A"/>
    <w:rsid w:val="00C57E1C"/>
    <w:rsid w:val="00C6090F"/>
    <w:rsid w:val="00C60EF0"/>
    <w:rsid w:val="00C61360"/>
    <w:rsid w:val="00C615F4"/>
    <w:rsid w:val="00C61D1D"/>
    <w:rsid w:val="00C628D6"/>
    <w:rsid w:val="00C63482"/>
    <w:rsid w:val="00C63BB7"/>
    <w:rsid w:val="00C64458"/>
    <w:rsid w:val="00C650E0"/>
    <w:rsid w:val="00C65698"/>
    <w:rsid w:val="00C66214"/>
    <w:rsid w:val="00C66B68"/>
    <w:rsid w:val="00C66C89"/>
    <w:rsid w:val="00C673ED"/>
    <w:rsid w:val="00C674B6"/>
    <w:rsid w:val="00C675F8"/>
    <w:rsid w:val="00C67BB3"/>
    <w:rsid w:val="00C70F86"/>
    <w:rsid w:val="00C71665"/>
    <w:rsid w:val="00C71F27"/>
    <w:rsid w:val="00C74EE5"/>
    <w:rsid w:val="00C76585"/>
    <w:rsid w:val="00C7730F"/>
    <w:rsid w:val="00C77386"/>
    <w:rsid w:val="00C7740A"/>
    <w:rsid w:val="00C77DA9"/>
    <w:rsid w:val="00C80B76"/>
    <w:rsid w:val="00C81C03"/>
    <w:rsid w:val="00C82437"/>
    <w:rsid w:val="00C82525"/>
    <w:rsid w:val="00C82615"/>
    <w:rsid w:val="00C83A8E"/>
    <w:rsid w:val="00C83AFE"/>
    <w:rsid w:val="00C83C07"/>
    <w:rsid w:val="00C84790"/>
    <w:rsid w:val="00C847BE"/>
    <w:rsid w:val="00C85403"/>
    <w:rsid w:val="00C85BB2"/>
    <w:rsid w:val="00C85F90"/>
    <w:rsid w:val="00C864D6"/>
    <w:rsid w:val="00C86B4A"/>
    <w:rsid w:val="00C9000D"/>
    <w:rsid w:val="00C9101B"/>
    <w:rsid w:val="00C92CF6"/>
    <w:rsid w:val="00C92D44"/>
    <w:rsid w:val="00C9304C"/>
    <w:rsid w:val="00C94009"/>
    <w:rsid w:val="00C94527"/>
    <w:rsid w:val="00C94777"/>
    <w:rsid w:val="00C94F50"/>
    <w:rsid w:val="00C95177"/>
    <w:rsid w:val="00C954F9"/>
    <w:rsid w:val="00C95EE7"/>
    <w:rsid w:val="00C95FCD"/>
    <w:rsid w:val="00C968D5"/>
    <w:rsid w:val="00C96BBD"/>
    <w:rsid w:val="00C96C39"/>
    <w:rsid w:val="00C96CAC"/>
    <w:rsid w:val="00C97704"/>
    <w:rsid w:val="00C9799F"/>
    <w:rsid w:val="00C97BE4"/>
    <w:rsid w:val="00C97D16"/>
    <w:rsid w:val="00C97F06"/>
    <w:rsid w:val="00C97F2B"/>
    <w:rsid w:val="00CA0415"/>
    <w:rsid w:val="00CA1413"/>
    <w:rsid w:val="00CA1677"/>
    <w:rsid w:val="00CA19FD"/>
    <w:rsid w:val="00CA2194"/>
    <w:rsid w:val="00CA21D2"/>
    <w:rsid w:val="00CA3497"/>
    <w:rsid w:val="00CA3B9A"/>
    <w:rsid w:val="00CA418D"/>
    <w:rsid w:val="00CA5990"/>
    <w:rsid w:val="00CA5C00"/>
    <w:rsid w:val="00CA5F8E"/>
    <w:rsid w:val="00CA600D"/>
    <w:rsid w:val="00CA676A"/>
    <w:rsid w:val="00CA6A7C"/>
    <w:rsid w:val="00CA6ACB"/>
    <w:rsid w:val="00CA6EB4"/>
    <w:rsid w:val="00CA7159"/>
    <w:rsid w:val="00CA74BD"/>
    <w:rsid w:val="00CB0E4B"/>
    <w:rsid w:val="00CB0E7C"/>
    <w:rsid w:val="00CB0EC8"/>
    <w:rsid w:val="00CB128D"/>
    <w:rsid w:val="00CB2601"/>
    <w:rsid w:val="00CB2A38"/>
    <w:rsid w:val="00CB2BED"/>
    <w:rsid w:val="00CB3CF6"/>
    <w:rsid w:val="00CB4820"/>
    <w:rsid w:val="00CB49FD"/>
    <w:rsid w:val="00CB4BF6"/>
    <w:rsid w:val="00CB5131"/>
    <w:rsid w:val="00CB5635"/>
    <w:rsid w:val="00CB6371"/>
    <w:rsid w:val="00CB684D"/>
    <w:rsid w:val="00CB6904"/>
    <w:rsid w:val="00CB6E39"/>
    <w:rsid w:val="00CB7135"/>
    <w:rsid w:val="00CB7842"/>
    <w:rsid w:val="00CC0ECD"/>
    <w:rsid w:val="00CC0F18"/>
    <w:rsid w:val="00CC1A7E"/>
    <w:rsid w:val="00CC2828"/>
    <w:rsid w:val="00CC2F9A"/>
    <w:rsid w:val="00CC3042"/>
    <w:rsid w:val="00CC3729"/>
    <w:rsid w:val="00CC3C87"/>
    <w:rsid w:val="00CC42FC"/>
    <w:rsid w:val="00CC54E8"/>
    <w:rsid w:val="00CC5578"/>
    <w:rsid w:val="00CC6776"/>
    <w:rsid w:val="00CC76BA"/>
    <w:rsid w:val="00CC77CF"/>
    <w:rsid w:val="00CD0587"/>
    <w:rsid w:val="00CD0A40"/>
    <w:rsid w:val="00CD0D42"/>
    <w:rsid w:val="00CD1091"/>
    <w:rsid w:val="00CD12EB"/>
    <w:rsid w:val="00CD2E7E"/>
    <w:rsid w:val="00CD314B"/>
    <w:rsid w:val="00CD346D"/>
    <w:rsid w:val="00CD3505"/>
    <w:rsid w:val="00CD4565"/>
    <w:rsid w:val="00CD4D37"/>
    <w:rsid w:val="00CD5945"/>
    <w:rsid w:val="00CD5CDF"/>
    <w:rsid w:val="00CD6705"/>
    <w:rsid w:val="00CD6E47"/>
    <w:rsid w:val="00CD722B"/>
    <w:rsid w:val="00CD77E5"/>
    <w:rsid w:val="00CD794C"/>
    <w:rsid w:val="00CD7BB7"/>
    <w:rsid w:val="00CE068D"/>
    <w:rsid w:val="00CE0AEE"/>
    <w:rsid w:val="00CE164A"/>
    <w:rsid w:val="00CE1817"/>
    <w:rsid w:val="00CE2392"/>
    <w:rsid w:val="00CE240F"/>
    <w:rsid w:val="00CE4F98"/>
    <w:rsid w:val="00CE556D"/>
    <w:rsid w:val="00CE5BF7"/>
    <w:rsid w:val="00CE617E"/>
    <w:rsid w:val="00CE6C2D"/>
    <w:rsid w:val="00CE7418"/>
    <w:rsid w:val="00CE78F7"/>
    <w:rsid w:val="00CF0061"/>
    <w:rsid w:val="00CF006D"/>
    <w:rsid w:val="00CF0241"/>
    <w:rsid w:val="00CF0264"/>
    <w:rsid w:val="00CF0593"/>
    <w:rsid w:val="00CF05F4"/>
    <w:rsid w:val="00CF076A"/>
    <w:rsid w:val="00CF0CA6"/>
    <w:rsid w:val="00CF22B2"/>
    <w:rsid w:val="00CF2503"/>
    <w:rsid w:val="00CF2D5B"/>
    <w:rsid w:val="00CF328E"/>
    <w:rsid w:val="00CF3615"/>
    <w:rsid w:val="00CF3E1A"/>
    <w:rsid w:val="00CF3EA4"/>
    <w:rsid w:val="00CF3EEA"/>
    <w:rsid w:val="00CF4C6D"/>
    <w:rsid w:val="00CF5275"/>
    <w:rsid w:val="00CF618C"/>
    <w:rsid w:val="00CF66B6"/>
    <w:rsid w:val="00CF68DC"/>
    <w:rsid w:val="00CF68EB"/>
    <w:rsid w:val="00CF6C28"/>
    <w:rsid w:val="00CF70F6"/>
    <w:rsid w:val="00CF736F"/>
    <w:rsid w:val="00D00838"/>
    <w:rsid w:val="00D00B7A"/>
    <w:rsid w:val="00D01BF3"/>
    <w:rsid w:val="00D01F9E"/>
    <w:rsid w:val="00D02757"/>
    <w:rsid w:val="00D02962"/>
    <w:rsid w:val="00D02DF5"/>
    <w:rsid w:val="00D047E1"/>
    <w:rsid w:val="00D05363"/>
    <w:rsid w:val="00D05F30"/>
    <w:rsid w:val="00D07406"/>
    <w:rsid w:val="00D0758F"/>
    <w:rsid w:val="00D07923"/>
    <w:rsid w:val="00D079DA"/>
    <w:rsid w:val="00D10025"/>
    <w:rsid w:val="00D109B6"/>
    <w:rsid w:val="00D10DA3"/>
    <w:rsid w:val="00D11137"/>
    <w:rsid w:val="00D1178B"/>
    <w:rsid w:val="00D11890"/>
    <w:rsid w:val="00D11A2F"/>
    <w:rsid w:val="00D12402"/>
    <w:rsid w:val="00D12430"/>
    <w:rsid w:val="00D12553"/>
    <w:rsid w:val="00D1282F"/>
    <w:rsid w:val="00D132F3"/>
    <w:rsid w:val="00D135AD"/>
    <w:rsid w:val="00D135DC"/>
    <w:rsid w:val="00D13660"/>
    <w:rsid w:val="00D13D4B"/>
    <w:rsid w:val="00D147CF"/>
    <w:rsid w:val="00D14D2D"/>
    <w:rsid w:val="00D1640B"/>
    <w:rsid w:val="00D1700C"/>
    <w:rsid w:val="00D170C7"/>
    <w:rsid w:val="00D174F1"/>
    <w:rsid w:val="00D17C52"/>
    <w:rsid w:val="00D20078"/>
    <w:rsid w:val="00D200AD"/>
    <w:rsid w:val="00D201AC"/>
    <w:rsid w:val="00D20E68"/>
    <w:rsid w:val="00D21170"/>
    <w:rsid w:val="00D21602"/>
    <w:rsid w:val="00D2186C"/>
    <w:rsid w:val="00D21F1D"/>
    <w:rsid w:val="00D224CF"/>
    <w:rsid w:val="00D233B0"/>
    <w:rsid w:val="00D23C11"/>
    <w:rsid w:val="00D24C44"/>
    <w:rsid w:val="00D26A13"/>
    <w:rsid w:val="00D26B8D"/>
    <w:rsid w:val="00D2771E"/>
    <w:rsid w:val="00D27885"/>
    <w:rsid w:val="00D27E98"/>
    <w:rsid w:val="00D31262"/>
    <w:rsid w:val="00D313CF"/>
    <w:rsid w:val="00D31DB7"/>
    <w:rsid w:val="00D31FD1"/>
    <w:rsid w:val="00D325A9"/>
    <w:rsid w:val="00D348D1"/>
    <w:rsid w:val="00D35AB9"/>
    <w:rsid w:val="00D35AEF"/>
    <w:rsid w:val="00D35E50"/>
    <w:rsid w:val="00D35E7A"/>
    <w:rsid w:val="00D366AA"/>
    <w:rsid w:val="00D3688F"/>
    <w:rsid w:val="00D371F6"/>
    <w:rsid w:val="00D372AF"/>
    <w:rsid w:val="00D37E55"/>
    <w:rsid w:val="00D40095"/>
    <w:rsid w:val="00D41383"/>
    <w:rsid w:val="00D41CEF"/>
    <w:rsid w:val="00D41EE8"/>
    <w:rsid w:val="00D41FDF"/>
    <w:rsid w:val="00D424DE"/>
    <w:rsid w:val="00D42777"/>
    <w:rsid w:val="00D42BFE"/>
    <w:rsid w:val="00D42CB0"/>
    <w:rsid w:val="00D4372D"/>
    <w:rsid w:val="00D437B5"/>
    <w:rsid w:val="00D43F27"/>
    <w:rsid w:val="00D44F98"/>
    <w:rsid w:val="00D4515C"/>
    <w:rsid w:val="00D46011"/>
    <w:rsid w:val="00D4641E"/>
    <w:rsid w:val="00D47FB3"/>
    <w:rsid w:val="00D506A7"/>
    <w:rsid w:val="00D521CA"/>
    <w:rsid w:val="00D524FB"/>
    <w:rsid w:val="00D52B0F"/>
    <w:rsid w:val="00D52B79"/>
    <w:rsid w:val="00D532B2"/>
    <w:rsid w:val="00D53D5A"/>
    <w:rsid w:val="00D548F6"/>
    <w:rsid w:val="00D572D4"/>
    <w:rsid w:val="00D607D1"/>
    <w:rsid w:val="00D60AA6"/>
    <w:rsid w:val="00D60E72"/>
    <w:rsid w:val="00D6132B"/>
    <w:rsid w:val="00D61B22"/>
    <w:rsid w:val="00D61E08"/>
    <w:rsid w:val="00D61E34"/>
    <w:rsid w:val="00D634A7"/>
    <w:rsid w:val="00D6428B"/>
    <w:rsid w:val="00D649BF"/>
    <w:rsid w:val="00D649F7"/>
    <w:rsid w:val="00D64B89"/>
    <w:rsid w:val="00D64EFE"/>
    <w:rsid w:val="00D65172"/>
    <w:rsid w:val="00D6549A"/>
    <w:rsid w:val="00D6563D"/>
    <w:rsid w:val="00D66AE5"/>
    <w:rsid w:val="00D66E7A"/>
    <w:rsid w:val="00D70283"/>
    <w:rsid w:val="00D7028A"/>
    <w:rsid w:val="00D703EB"/>
    <w:rsid w:val="00D7061B"/>
    <w:rsid w:val="00D70AD5"/>
    <w:rsid w:val="00D710D0"/>
    <w:rsid w:val="00D711F5"/>
    <w:rsid w:val="00D71793"/>
    <w:rsid w:val="00D72178"/>
    <w:rsid w:val="00D74043"/>
    <w:rsid w:val="00D74184"/>
    <w:rsid w:val="00D74235"/>
    <w:rsid w:val="00D74D80"/>
    <w:rsid w:val="00D74E37"/>
    <w:rsid w:val="00D75903"/>
    <w:rsid w:val="00D7655D"/>
    <w:rsid w:val="00D7674E"/>
    <w:rsid w:val="00D76E43"/>
    <w:rsid w:val="00D80373"/>
    <w:rsid w:val="00D80511"/>
    <w:rsid w:val="00D806FD"/>
    <w:rsid w:val="00D807BB"/>
    <w:rsid w:val="00D81196"/>
    <w:rsid w:val="00D814EC"/>
    <w:rsid w:val="00D819A0"/>
    <w:rsid w:val="00D82DA2"/>
    <w:rsid w:val="00D831D0"/>
    <w:rsid w:val="00D83C0C"/>
    <w:rsid w:val="00D84569"/>
    <w:rsid w:val="00D84E7A"/>
    <w:rsid w:val="00D85824"/>
    <w:rsid w:val="00D85C71"/>
    <w:rsid w:val="00D85E96"/>
    <w:rsid w:val="00D85F01"/>
    <w:rsid w:val="00D85F4C"/>
    <w:rsid w:val="00D866C4"/>
    <w:rsid w:val="00D86EBC"/>
    <w:rsid w:val="00D90212"/>
    <w:rsid w:val="00D90543"/>
    <w:rsid w:val="00D9110B"/>
    <w:rsid w:val="00D911B1"/>
    <w:rsid w:val="00D918F0"/>
    <w:rsid w:val="00D927F9"/>
    <w:rsid w:val="00D92A64"/>
    <w:rsid w:val="00D92B1D"/>
    <w:rsid w:val="00D92C85"/>
    <w:rsid w:val="00D92CC9"/>
    <w:rsid w:val="00D934BB"/>
    <w:rsid w:val="00D93974"/>
    <w:rsid w:val="00D93F92"/>
    <w:rsid w:val="00D95494"/>
    <w:rsid w:val="00D956A2"/>
    <w:rsid w:val="00D96736"/>
    <w:rsid w:val="00D96EF3"/>
    <w:rsid w:val="00D97566"/>
    <w:rsid w:val="00D97C1A"/>
    <w:rsid w:val="00D97F81"/>
    <w:rsid w:val="00DA0544"/>
    <w:rsid w:val="00DA1A8B"/>
    <w:rsid w:val="00DA1F8C"/>
    <w:rsid w:val="00DA2AD4"/>
    <w:rsid w:val="00DA2C51"/>
    <w:rsid w:val="00DA54AC"/>
    <w:rsid w:val="00DA60EA"/>
    <w:rsid w:val="00DA629E"/>
    <w:rsid w:val="00DA66C6"/>
    <w:rsid w:val="00DA6D2D"/>
    <w:rsid w:val="00DB0365"/>
    <w:rsid w:val="00DB0808"/>
    <w:rsid w:val="00DB10B8"/>
    <w:rsid w:val="00DB25EE"/>
    <w:rsid w:val="00DB2AFE"/>
    <w:rsid w:val="00DB3241"/>
    <w:rsid w:val="00DB3391"/>
    <w:rsid w:val="00DB3444"/>
    <w:rsid w:val="00DB3A0A"/>
    <w:rsid w:val="00DB527C"/>
    <w:rsid w:val="00DB53EF"/>
    <w:rsid w:val="00DB672F"/>
    <w:rsid w:val="00DB6880"/>
    <w:rsid w:val="00DB7C7B"/>
    <w:rsid w:val="00DC0C61"/>
    <w:rsid w:val="00DC1247"/>
    <w:rsid w:val="00DC131A"/>
    <w:rsid w:val="00DC16DF"/>
    <w:rsid w:val="00DC1D34"/>
    <w:rsid w:val="00DC1F49"/>
    <w:rsid w:val="00DC1F6B"/>
    <w:rsid w:val="00DC2E06"/>
    <w:rsid w:val="00DC2E48"/>
    <w:rsid w:val="00DC3096"/>
    <w:rsid w:val="00DC321E"/>
    <w:rsid w:val="00DC3922"/>
    <w:rsid w:val="00DC489B"/>
    <w:rsid w:val="00DC56B7"/>
    <w:rsid w:val="00DC57E1"/>
    <w:rsid w:val="00DC63D7"/>
    <w:rsid w:val="00DC6CEB"/>
    <w:rsid w:val="00DC6FB3"/>
    <w:rsid w:val="00DC70D7"/>
    <w:rsid w:val="00DC71B7"/>
    <w:rsid w:val="00DC73B8"/>
    <w:rsid w:val="00DC7602"/>
    <w:rsid w:val="00DC77A6"/>
    <w:rsid w:val="00DC7B14"/>
    <w:rsid w:val="00DC7DD6"/>
    <w:rsid w:val="00DC7F4B"/>
    <w:rsid w:val="00DD0E84"/>
    <w:rsid w:val="00DD0EDA"/>
    <w:rsid w:val="00DD2199"/>
    <w:rsid w:val="00DD23D4"/>
    <w:rsid w:val="00DD25A1"/>
    <w:rsid w:val="00DD2CC1"/>
    <w:rsid w:val="00DD2F04"/>
    <w:rsid w:val="00DD311F"/>
    <w:rsid w:val="00DD3346"/>
    <w:rsid w:val="00DD3B01"/>
    <w:rsid w:val="00DD3B78"/>
    <w:rsid w:val="00DD3F8C"/>
    <w:rsid w:val="00DD4459"/>
    <w:rsid w:val="00DD44E2"/>
    <w:rsid w:val="00DD4887"/>
    <w:rsid w:val="00DD49CE"/>
    <w:rsid w:val="00DD4C0E"/>
    <w:rsid w:val="00DD4CEE"/>
    <w:rsid w:val="00DD4D04"/>
    <w:rsid w:val="00DD4DFD"/>
    <w:rsid w:val="00DD583D"/>
    <w:rsid w:val="00DD617F"/>
    <w:rsid w:val="00DD63BE"/>
    <w:rsid w:val="00DD694D"/>
    <w:rsid w:val="00DD6E69"/>
    <w:rsid w:val="00DD77B4"/>
    <w:rsid w:val="00DD77BB"/>
    <w:rsid w:val="00DE003D"/>
    <w:rsid w:val="00DE08EA"/>
    <w:rsid w:val="00DE11C1"/>
    <w:rsid w:val="00DE2492"/>
    <w:rsid w:val="00DE26C3"/>
    <w:rsid w:val="00DE29E2"/>
    <w:rsid w:val="00DE2EBF"/>
    <w:rsid w:val="00DE3302"/>
    <w:rsid w:val="00DE3504"/>
    <w:rsid w:val="00DE360A"/>
    <w:rsid w:val="00DE3763"/>
    <w:rsid w:val="00DE37CD"/>
    <w:rsid w:val="00DE5132"/>
    <w:rsid w:val="00DE5451"/>
    <w:rsid w:val="00DE71FA"/>
    <w:rsid w:val="00DE7E8E"/>
    <w:rsid w:val="00DE7FDE"/>
    <w:rsid w:val="00DF03A4"/>
    <w:rsid w:val="00DF07D4"/>
    <w:rsid w:val="00DF1029"/>
    <w:rsid w:val="00DF12C4"/>
    <w:rsid w:val="00DF1C16"/>
    <w:rsid w:val="00DF1C66"/>
    <w:rsid w:val="00DF1FA1"/>
    <w:rsid w:val="00DF1FC8"/>
    <w:rsid w:val="00DF223E"/>
    <w:rsid w:val="00DF252C"/>
    <w:rsid w:val="00DF2AA2"/>
    <w:rsid w:val="00DF2AB9"/>
    <w:rsid w:val="00DF2B54"/>
    <w:rsid w:val="00DF3349"/>
    <w:rsid w:val="00DF3A21"/>
    <w:rsid w:val="00DF3E3B"/>
    <w:rsid w:val="00DF3E8C"/>
    <w:rsid w:val="00DF427B"/>
    <w:rsid w:val="00DF42B0"/>
    <w:rsid w:val="00DF43B8"/>
    <w:rsid w:val="00DF53BE"/>
    <w:rsid w:val="00DF6076"/>
    <w:rsid w:val="00DF73B3"/>
    <w:rsid w:val="00DF7727"/>
    <w:rsid w:val="00E00A33"/>
    <w:rsid w:val="00E00B2A"/>
    <w:rsid w:val="00E00D7C"/>
    <w:rsid w:val="00E00E0D"/>
    <w:rsid w:val="00E010CF"/>
    <w:rsid w:val="00E012B3"/>
    <w:rsid w:val="00E013E5"/>
    <w:rsid w:val="00E02559"/>
    <w:rsid w:val="00E02636"/>
    <w:rsid w:val="00E026A5"/>
    <w:rsid w:val="00E02993"/>
    <w:rsid w:val="00E03F6B"/>
    <w:rsid w:val="00E051ED"/>
    <w:rsid w:val="00E0559F"/>
    <w:rsid w:val="00E06588"/>
    <w:rsid w:val="00E06715"/>
    <w:rsid w:val="00E068BE"/>
    <w:rsid w:val="00E069C9"/>
    <w:rsid w:val="00E06F0F"/>
    <w:rsid w:val="00E07436"/>
    <w:rsid w:val="00E102B5"/>
    <w:rsid w:val="00E105EE"/>
    <w:rsid w:val="00E10CAC"/>
    <w:rsid w:val="00E11DB1"/>
    <w:rsid w:val="00E11FB5"/>
    <w:rsid w:val="00E12B7D"/>
    <w:rsid w:val="00E137C1"/>
    <w:rsid w:val="00E144BE"/>
    <w:rsid w:val="00E15470"/>
    <w:rsid w:val="00E15604"/>
    <w:rsid w:val="00E16A3E"/>
    <w:rsid w:val="00E17089"/>
    <w:rsid w:val="00E17A66"/>
    <w:rsid w:val="00E2102F"/>
    <w:rsid w:val="00E21AA4"/>
    <w:rsid w:val="00E21ECB"/>
    <w:rsid w:val="00E21F9B"/>
    <w:rsid w:val="00E22118"/>
    <w:rsid w:val="00E224E1"/>
    <w:rsid w:val="00E22921"/>
    <w:rsid w:val="00E23290"/>
    <w:rsid w:val="00E23672"/>
    <w:rsid w:val="00E24C4B"/>
    <w:rsid w:val="00E24CDE"/>
    <w:rsid w:val="00E252BE"/>
    <w:rsid w:val="00E252F7"/>
    <w:rsid w:val="00E25327"/>
    <w:rsid w:val="00E260DF"/>
    <w:rsid w:val="00E26282"/>
    <w:rsid w:val="00E26494"/>
    <w:rsid w:val="00E27173"/>
    <w:rsid w:val="00E2720C"/>
    <w:rsid w:val="00E30A29"/>
    <w:rsid w:val="00E31083"/>
    <w:rsid w:val="00E3207A"/>
    <w:rsid w:val="00E3239F"/>
    <w:rsid w:val="00E3268B"/>
    <w:rsid w:val="00E32B0E"/>
    <w:rsid w:val="00E32EF3"/>
    <w:rsid w:val="00E330B4"/>
    <w:rsid w:val="00E330C5"/>
    <w:rsid w:val="00E33104"/>
    <w:rsid w:val="00E33B0C"/>
    <w:rsid w:val="00E3413E"/>
    <w:rsid w:val="00E3421B"/>
    <w:rsid w:val="00E36039"/>
    <w:rsid w:val="00E364A2"/>
    <w:rsid w:val="00E367C0"/>
    <w:rsid w:val="00E3689B"/>
    <w:rsid w:val="00E369D3"/>
    <w:rsid w:val="00E36E22"/>
    <w:rsid w:val="00E3754E"/>
    <w:rsid w:val="00E37C2B"/>
    <w:rsid w:val="00E37D27"/>
    <w:rsid w:val="00E40C79"/>
    <w:rsid w:val="00E412BE"/>
    <w:rsid w:val="00E41839"/>
    <w:rsid w:val="00E418C9"/>
    <w:rsid w:val="00E434AF"/>
    <w:rsid w:val="00E43B79"/>
    <w:rsid w:val="00E43C5E"/>
    <w:rsid w:val="00E441F9"/>
    <w:rsid w:val="00E44388"/>
    <w:rsid w:val="00E45216"/>
    <w:rsid w:val="00E452C6"/>
    <w:rsid w:val="00E45679"/>
    <w:rsid w:val="00E466AD"/>
    <w:rsid w:val="00E469B8"/>
    <w:rsid w:val="00E4777C"/>
    <w:rsid w:val="00E47996"/>
    <w:rsid w:val="00E47FF3"/>
    <w:rsid w:val="00E518B8"/>
    <w:rsid w:val="00E51CB1"/>
    <w:rsid w:val="00E522F5"/>
    <w:rsid w:val="00E535A2"/>
    <w:rsid w:val="00E53D5C"/>
    <w:rsid w:val="00E53E76"/>
    <w:rsid w:val="00E53F91"/>
    <w:rsid w:val="00E54371"/>
    <w:rsid w:val="00E549F2"/>
    <w:rsid w:val="00E54A9F"/>
    <w:rsid w:val="00E55393"/>
    <w:rsid w:val="00E5546C"/>
    <w:rsid w:val="00E55BF4"/>
    <w:rsid w:val="00E561AA"/>
    <w:rsid w:val="00E56482"/>
    <w:rsid w:val="00E56648"/>
    <w:rsid w:val="00E5727B"/>
    <w:rsid w:val="00E573FE"/>
    <w:rsid w:val="00E5780B"/>
    <w:rsid w:val="00E57D15"/>
    <w:rsid w:val="00E57D6E"/>
    <w:rsid w:val="00E60970"/>
    <w:rsid w:val="00E60C94"/>
    <w:rsid w:val="00E61424"/>
    <w:rsid w:val="00E61972"/>
    <w:rsid w:val="00E6244A"/>
    <w:rsid w:val="00E62DC4"/>
    <w:rsid w:val="00E62E4C"/>
    <w:rsid w:val="00E632F8"/>
    <w:rsid w:val="00E63BA2"/>
    <w:rsid w:val="00E63DFA"/>
    <w:rsid w:val="00E63EF4"/>
    <w:rsid w:val="00E647EA"/>
    <w:rsid w:val="00E64B7D"/>
    <w:rsid w:val="00E65565"/>
    <w:rsid w:val="00E657DC"/>
    <w:rsid w:val="00E658AE"/>
    <w:rsid w:val="00E65933"/>
    <w:rsid w:val="00E65F5E"/>
    <w:rsid w:val="00E66771"/>
    <w:rsid w:val="00E667F5"/>
    <w:rsid w:val="00E66E98"/>
    <w:rsid w:val="00E67E17"/>
    <w:rsid w:val="00E7007A"/>
    <w:rsid w:val="00E703AB"/>
    <w:rsid w:val="00E70CB4"/>
    <w:rsid w:val="00E71C59"/>
    <w:rsid w:val="00E727E1"/>
    <w:rsid w:val="00E72AF6"/>
    <w:rsid w:val="00E72D52"/>
    <w:rsid w:val="00E72E09"/>
    <w:rsid w:val="00E72E53"/>
    <w:rsid w:val="00E73E8D"/>
    <w:rsid w:val="00E73F94"/>
    <w:rsid w:val="00E74957"/>
    <w:rsid w:val="00E74A0D"/>
    <w:rsid w:val="00E74E72"/>
    <w:rsid w:val="00E7507F"/>
    <w:rsid w:val="00E7576A"/>
    <w:rsid w:val="00E75A5A"/>
    <w:rsid w:val="00E75E51"/>
    <w:rsid w:val="00E76D81"/>
    <w:rsid w:val="00E76EF4"/>
    <w:rsid w:val="00E777AC"/>
    <w:rsid w:val="00E778EF"/>
    <w:rsid w:val="00E77BA9"/>
    <w:rsid w:val="00E77F48"/>
    <w:rsid w:val="00E80168"/>
    <w:rsid w:val="00E80FEF"/>
    <w:rsid w:val="00E8127F"/>
    <w:rsid w:val="00E81ABB"/>
    <w:rsid w:val="00E82231"/>
    <w:rsid w:val="00E82B74"/>
    <w:rsid w:val="00E832BE"/>
    <w:rsid w:val="00E83843"/>
    <w:rsid w:val="00E83A4A"/>
    <w:rsid w:val="00E83A5E"/>
    <w:rsid w:val="00E83E08"/>
    <w:rsid w:val="00E841D0"/>
    <w:rsid w:val="00E84866"/>
    <w:rsid w:val="00E85A8B"/>
    <w:rsid w:val="00E86034"/>
    <w:rsid w:val="00E86050"/>
    <w:rsid w:val="00E8625F"/>
    <w:rsid w:val="00E8794E"/>
    <w:rsid w:val="00E90AD7"/>
    <w:rsid w:val="00E915E8"/>
    <w:rsid w:val="00E91631"/>
    <w:rsid w:val="00E91A30"/>
    <w:rsid w:val="00E91F90"/>
    <w:rsid w:val="00E924FC"/>
    <w:rsid w:val="00E93615"/>
    <w:rsid w:val="00E9393E"/>
    <w:rsid w:val="00E94125"/>
    <w:rsid w:val="00E9433C"/>
    <w:rsid w:val="00E94525"/>
    <w:rsid w:val="00E94772"/>
    <w:rsid w:val="00E947DF"/>
    <w:rsid w:val="00E9514A"/>
    <w:rsid w:val="00E956AB"/>
    <w:rsid w:val="00E95F77"/>
    <w:rsid w:val="00E96564"/>
    <w:rsid w:val="00EA04D7"/>
    <w:rsid w:val="00EA07D6"/>
    <w:rsid w:val="00EA15AA"/>
    <w:rsid w:val="00EA1917"/>
    <w:rsid w:val="00EA19AF"/>
    <w:rsid w:val="00EA2AD5"/>
    <w:rsid w:val="00EA2D7B"/>
    <w:rsid w:val="00EA33C9"/>
    <w:rsid w:val="00EA37CF"/>
    <w:rsid w:val="00EA387E"/>
    <w:rsid w:val="00EA5445"/>
    <w:rsid w:val="00EA59D1"/>
    <w:rsid w:val="00EA5D36"/>
    <w:rsid w:val="00EA5FDF"/>
    <w:rsid w:val="00EA6A38"/>
    <w:rsid w:val="00EA6D85"/>
    <w:rsid w:val="00EA7813"/>
    <w:rsid w:val="00EB0441"/>
    <w:rsid w:val="00EB0524"/>
    <w:rsid w:val="00EB36DA"/>
    <w:rsid w:val="00EB499E"/>
    <w:rsid w:val="00EB59FA"/>
    <w:rsid w:val="00EB5ACA"/>
    <w:rsid w:val="00EB5C22"/>
    <w:rsid w:val="00EB65FC"/>
    <w:rsid w:val="00EB6C4F"/>
    <w:rsid w:val="00EC154D"/>
    <w:rsid w:val="00EC250F"/>
    <w:rsid w:val="00EC25FD"/>
    <w:rsid w:val="00EC2877"/>
    <w:rsid w:val="00EC36F8"/>
    <w:rsid w:val="00EC3CDA"/>
    <w:rsid w:val="00EC3D62"/>
    <w:rsid w:val="00EC42C1"/>
    <w:rsid w:val="00EC4CB2"/>
    <w:rsid w:val="00EC5170"/>
    <w:rsid w:val="00EC6552"/>
    <w:rsid w:val="00EC6CAA"/>
    <w:rsid w:val="00EC6E48"/>
    <w:rsid w:val="00EC703A"/>
    <w:rsid w:val="00EC7448"/>
    <w:rsid w:val="00EC7741"/>
    <w:rsid w:val="00EC7867"/>
    <w:rsid w:val="00ED0801"/>
    <w:rsid w:val="00ED1459"/>
    <w:rsid w:val="00ED1575"/>
    <w:rsid w:val="00ED1682"/>
    <w:rsid w:val="00ED1AB4"/>
    <w:rsid w:val="00ED1C0B"/>
    <w:rsid w:val="00ED22AC"/>
    <w:rsid w:val="00ED3262"/>
    <w:rsid w:val="00ED358A"/>
    <w:rsid w:val="00ED4400"/>
    <w:rsid w:val="00ED4F27"/>
    <w:rsid w:val="00ED52D4"/>
    <w:rsid w:val="00ED5FF8"/>
    <w:rsid w:val="00ED643C"/>
    <w:rsid w:val="00ED6952"/>
    <w:rsid w:val="00ED6AB1"/>
    <w:rsid w:val="00ED705F"/>
    <w:rsid w:val="00ED710A"/>
    <w:rsid w:val="00ED7E16"/>
    <w:rsid w:val="00EE0534"/>
    <w:rsid w:val="00EE0ACD"/>
    <w:rsid w:val="00EE15AA"/>
    <w:rsid w:val="00EE2B8F"/>
    <w:rsid w:val="00EE2C02"/>
    <w:rsid w:val="00EE39A0"/>
    <w:rsid w:val="00EE3A96"/>
    <w:rsid w:val="00EE3B65"/>
    <w:rsid w:val="00EE3C5E"/>
    <w:rsid w:val="00EE3F1C"/>
    <w:rsid w:val="00EE6578"/>
    <w:rsid w:val="00EE7603"/>
    <w:rsid w:val="00EE7B5C"/>
    <w:rsid w:val="00EF05CC"/>
    <w:rsid w:val="00EF07A0"/>
    <w:rsid w:val="00EF0C1F"/>
    <w:rsid w:val="00EF0E33"/>
    <w:rsid w:val="00EF1DF6"/>
    <w:rsid w:val="00EF27F8"/>
    <w:rsid w:val="00EF2A3A"/>
    <w:rsid w:val="00EF2EA8"/>
    <w:rsid w:val="00EF3904"/>
    <w:rsid w:val="00EF39F9"/>
    <w:rsid w:val="00EF43CB"/>
    <w:rsid w:val="00EF4896"/>
    <w:rsid w:val="00EF4E9E"/>
    <w:rsid w:val="00EF5F0A"/>
    <w:rsid w:val="00EF6336"/>
    <w:rsid w:val="00EF63F9"/>
    <w:rsid w:val="00EF6B30"/>
    <w:rsid w:val="00F009C0"/>
    <w:rsid w:val="00F00AA5"/>
    <w:rsid w:val="00F00F4C"/>
    <w:rsid w:val="00F00F99"/>
    <w:rsid w:val="00F016C0"/>
    <w:rsid w:val="00F01B4B"/>
    <w:rsid w:val="00F02B5A"/>
    <w:rsid w:val="00F02E1C"/>
    <w:rsid w:val="00F03198"/>
    <w:rsid w:val="00F0512E"/>
    <w:rsid w:val="00F0521E"/>
    <w:rsid w:val="00F05C09"/>
    <w:rsid w:val="00F05CED"/>
    <w:rsid w:val="00F07081"/>
    <w:rsid w:val="00F079F7"/>
    <w:rsid w:val="00F07F3D"/>
    <w:rsid w:val="00F10107"/>
    <w:rsid w:val="00F102A6"/>
    <w:rsid w:val="00F11346"/>
    <w:rsid w:val="00F11799"/>
    <w:rsid w:val="00F11AE4"/>
    <w:rsid w:val="00F11CFD"/>
    <w:rsid w:val="00F1247F"/>
    <w:rsid w:val="00F12988"/>
    <w:rsid w:val="00F12EF6"/>
    <w:rsid w:val="00F12FF0"/>
    <w:rsid w:val="00F13C72"/>
    <w:rsid w:val="00F14AE9"/>
    <w:rsid w:val="00F154CC"/>
    <w:rsid w:val="00F16AB2"/>
    <w:rsid w:val="00F1717D"/>
    <w:rsid w:val="00F172A7"/>
    <w:rsid w:val="00F174CB"/>
    <w:rsid w:val="00F178B2"/>
    <w:rsid w:val="00F2062E"/>
    <w:rsid w:val="00F20E29"/>
    <w:rsid w:val="00F21CB0"/>
    <w:rsid w:val="00F21DE7"/>
    <w:rsid w:val="00F220F5"/>
    <w:rsid w:val="00F226E0"/>
    <w:rsid w:val="00F22C1A"/>
    <w:rsid w:val="00F235F2"/>
    <w:rsid w:val="00F2396A"/>
    <w:rsid w:val="00F23EC9"/>
    <w:rsid w:val="00F24376"/>
    <w:rsid w:val="00F24838"/>
    <w:rsid w:val="00F24FE3"/>
    <w:rsid w:val="00F2634B"/>
    <w:rsid w:val="00F26BF0"/>
    <w:rsid w:val="00F26DE3"/>
    <w:rsid w:val="00F27B2F"/>
    <w:rsid w:val="00F303CD"/>
    <w:rsid w:val="00F304AD"/>
    <w:rsid w:val="00F30681"/>
    <w:rsid w:val="00F30B7F"/>
    <w:rsid w:val="00F30C8E"/>
    <w:rsid w:val="00F3177A"/>
    <w:rsid w:val="00F31C3B"/>
    <w:rsid w:val="00F3299F"/>
    <w:rsid w:val="00F33A94"/>
    <w:rsid w:val="00F33F16"/>
    <w:rsid w:val="00F3476A"/>
    <w:rsid w:val="00F34CA2"/>
    <w:rsid w:val="00F35033"/>
    <w:rsid w:val="00F353D0"/>
    <w:rsid w:val="00F35AB7"/>
    <w:rsid w:val="00F35B5F"/>
    <w:rsid w:val="00F36414"/>
    <w:rsid w:val="00F3669A"/>
    <w:rsid w:val="00F36814"/>
    <w:rsid w:val="00F36FD0"/>
    <w:rsid w:val="00F378A4"/>
    <w:rsid w:val="00F40532"/>
    <w:rsid w:val="00F40DA9"/>
    <w:rsid w:val="00F4101D"/>
    <w:rsid w:val="00F415D2"/>
    <w:rsid w:val="00F41913"/>
    <w:rsid w:val="00F41AD1"/>
    <w:rsid w:val="00F41BE9"/>
    <w:rsid w:val="00F41C43"/>
    <w:rsid w:val="00F41D6D"/>
    <w:rsid w:val="00F41FF5"/>
    <w:rsid w:val="00F43275"/>
    <w:rsid w:val="00F435B9"/>
    <w:rsid w:val="00F44159"/>
    <w:rsid w:val="00F4441C"/>
    <w:rsid w:val="00F444D3"/>
    <w:rsid w:val="00F44594"/>
    <w:rsid w:val="00F447E5"/>
    <w:rsid w:val="00F4524C"/>
    <w:rsid w:val="00F4536D"/>
    <w:rsid w:val="00F45AF1"/>
    <w:rsid w:val="00F45FD4"/>
    <w:rsid w:val="00F46BA9"/>
    <w:rsid w:val="00F46E93"/>
    <w:rsid w:val="00F470FF"/>
    <w:rsid w:val="00F5049B"/>
    <w:rsid w:val="00F50B73"/>
    <w:rsid w:val="00F50C28"/>
    <w:rsid w:val="00F51328"/>
    <w:rsid w:val="00F51408"/>
    <w:rsid w:val="00F51A49"/>
    <w:rsid w:val="00F521FC"/>
    <w:rsid w:val="00F53707"/>
    <w:rsid w:val="00F53A81"/>
    <w:rsid w:val="00F53F76"/>
    <w:rsid w:val="00F54211"/>
    <w:rsid w:val="00F54418"/>
    <w:rsid w:val="00F5449E"/>
    <w:rsid w:val="00F5491F"/>
    <w:rsid w:val="00F55032"/>
    <w:rsid w:val="00F550B8"/>
    <w:rsid w:val="00F55F18"/>
    <w:rsid w:val="00F568A7"/>
    <w:rsid w:val="00F56BEE"/>
    <w:rsid w:val="00F5705E"/>
    <w:rsid w:val="00F60082"/>
    <w:rsid w:val="00F6026B"/>
    <w:rsid w:val="00F60B05"/>
    <w:rsid w:val="00F60C47"/>
    <w:rsid w:val="00F61D87"/>
    <w:rsid w:val="00F61ED1"/>
    <w:rsid w:val="00F61FAB"/>
    <w:rsid w:val="00F62209"/>
    <w:rsid w:val="00F623FE"/>
    <w:rsid w:val="00F62F96"/>
    <w:rsid w:val="00F6317A"/>
    <w:rsid w:val="00F6367E"/>
    <w:rsid w:val="00F64102"/>
    <w:rsid w:val="00F64373"/>
    <w:rsid w:val="00F6509C"/>
    <w:rsid w:val="00F65713"/>
    <w:rsid w:val="00F65CD0"/>
    <w:rsid w:val="00F665E0"/>
    <w:rsid w:val="00F66863"/>
    <w:rsid w:val="00F66B50"/>
    <w:rsid w:val="00F671B4"/>
    <w:rsid w:val="00F67B90"/>
    <w:rsid w:val="00F702FE"/>
    <w:rsid w:val="00F70557"/>
    <w:rsid w:val="00F70BBB"/>
    <w:rsid w:val="00F7132B"/>
    <w:rsid w:val="00F7250A"/>
    <w:rsid w:val="00F726C4"/>
    <w:rsid w:val="00F72ECB"/>
    <w:rsid w:val="00F73558"/>
    <w:rsid w:val="00F73974"/>
    <w:rsid w:val="00F74F83"/>
    <w:rsid w:val="00F766A3"/>
    <w:rsid w:val="00F76CC9"/>
    <w:rsid w:val="00F77CD1"/>
    <w:rsid w:val="00F77EC4"/>
    <w:rsid w:val="00F80FE2"/>
    <w:rsid w:val="00F8128E"/>
    <w:rsid w:val="00F81752"/>
    <w:rsid w:val="00F82232"/>
    <w:rsid w:val="00F82A8E"/>
    <w:rsid w:val="00F82E5C"/>
    <w:rsid w:val="00F83169"/>
    <w:rsid w:val="00F833A9"/>
    <w:rsid w:val="00F83529"/>
    <w:rsid w:val="00F83658"/>
    <w:rsid w:val="00F84742"/>
    <w:rsid w:val="00F84817"/>
    <w:rsid w:val="00F860C2"/>
    <w:rsid w:val="00F86D67"/>
    <w:rsid w:val="00F86FAC"/>
    <w:rsid w:val="00F876AD"/>
    <w:rsid w:val="00F879C3"/>
    <w:rsid w:val="00F900AE"/>
    <w:rsid w:val="00F901EC"/>
    <w:rsid w:val="00F908BB"/>
    <w:rsid w:val="00F90EA2"/>
    <w:rsid w:val="00F91894"/>
    <w:rsid w:val="00F91B61"/>
    <w:rsid w:val="00F92237"/>
    <w:rsid w:val="00F92C7D"/>
    <w:rsid w:val="00F92CD8"/>
    <w:rsid w:val="00F92D6C"/>
    <w:rsid w:val="00F93474"/>
    <w:rsid w:val="00F934F4"/>
    <w:rsid w:val="00F93643"/>
    <w:rsid w:val="00F93707"/>
    <w:rsid w:val="00F9444F"/>
    <w:rsid w:val="00F94F33"/>
    <w:rsid w:val="00F95279"/>
    <w:rsid w:val="00F953E6"/>
    <w:rsid w:val="00F9578F"/>
    <w:rsid w:val="00F96327"/>
    <w:rsid w:val="00F965DC"/>
    <w:rsid w:val="00F969E5"/>
    <w:rsid w:val="00F96A48"/>
    <w:rsid w:val="00F97215"/>
    <w:rsid w:val="00FA0836"/>
    <w:rsid w:val="00FA35CB"/>
    <w:rsid w:val="00FA40E9"/>
    <w:rsid w:val="00FA43C1"/>
    <w:rsid w:val="00FA50AA"/>
    <w:rsid w:val="00FA644A"/>
    <w:rsid w:val="00FA654F"/>
    <w:rsid w:val="00FA6FEE"/>
    <w:rsid w:val="00FA736A"/>
    <w:rsid w:val="00FA79B1"/>
    <w:rsid w:val="00FA7CDB"/>
    <w:rsid w:val="00FB005A"/>
    <w:rsid w:val="00FB02B7"/>
    <w:rsid w:val="00FB036A"/>
    <w:rsid w:val="00FB0729"/>
    <w:rsid w:val="00FB136A"/>
    <w:rsid w:val="00FB13BA"/>
    <w:rsid w:val="00FB16C4"/>
    <w:rsid w:val="00FB2124"/>
    <w:rsid w:val="00FB2169"/>
    <w:rsid w:val="00FB2570"/>
    <w:rsid w:val="00FB259A"/>
    <w:rsid w:val="00FB28F4"/>
    <w:rsid w:val="00FB29A9"/>
    <w:rsid w:val="00FB2C3D"/>
    <w:rsid w:val="00FB2C68"/>
    <w:rsid w:val="00FB2CAE"/>
    <w:rsid w:val="00FB3142"/>
    <w:rsid w:val="00FB333B"/>
    <w:rsid w:val="00FB51A4"/>
    <w:rsid w:val="00FB5243"/>
    <w:rsid w:val="00FB5F2E"/>
    <w:rsid w:val="00FB64D0"/>
    <w:rsid w:val="00FB69F5"/>
    <w:rsid w:val="00FB70AC"/>
    <w:rsid w:val="00FB7784"/>
    <w:rsid w:val="00FB7A81"/>
    <w:rsid w:val="00FB7D7E"/>
    <w:rsid w:val="00FB7F91"/>
    <w:rsid w:val="00FC01AF"/>
    <w:rsid w:val="00FC20C5"/>
    <w:rsid w:val="00FC23D5"/>
    <w:rsid w:val="00FC2BA3"/>
    <w:rsid w:val="00FC2F4A"/>
    <w:rsid w:val="00FC3587"/>
    <w:rsid w:val="00FC3CC8"/>
    <w:rsid w:val="00FC40D4"/>
    <w:rsid w:val="00FC5211"/>
    <w:rsid w:val="00FC53C5"/>
    <w:rsid w:val="00FC56FA"/>
    <w:rsid w:val="00FC571B"/>
    <w:rsid w:val="00FC5736"/>
    <w:rsid w:val="00FC5FEB"/>
    <w:rsid w:val="00FC621B"/>
    <w:rsid w:val="00FC637B"/>
    <w:rsid w:val="00FC68EB"/>
    <w:rsid w:val="00FC6CB5"/>
    <w:rsid w:val="00FC7080"/>
    <w:rsid w:val="00FC78D9"/>
    <w:rsid w:val="00FC78F6"/>
    <w:rsid w:val="00FD06B5"/>
    <w:rsid w:val="00FD1168"/>
    <w:rsid w:val="00FD262C"/>
    <w:rsid w:val="00FD31B1"/>
    <w:rsid w:val="00FD3867"/>
    <w:rsid w:val="00FD3D64"/>
    <w:rsid w:val="00FD3ECF"/>
    <w:rsid w:val="00FD4691"/>
    <w:rsid w:val="00FD4A20"/>
    <w:rsid w:val="00FD4A8D"/>
    <w:rsid w:val="00FD57F1"/>
    <w:rsid w:val="00FD6039"/>
    <w:rsid w:val="00FD61AB"/>
    <w:rsid w:val="00FD6A37"/>
    <w:rsid w:val="00FD6F06"/>
    <w:rsid w:val="00FD71C5"/>
    <w:rsid w:val="00FD78C9"/>
    <w:rsid w:val="00FE058A"/>
    <w:rsid w:val="00FE1283"/>
    <w:rsid w:val="00FE1A4C"/>
    <w:rsid w:val="00FE1E4A"/>
    <w:rsid w:val="00FE3334"/>
    <w:rsid w:val="00FE5B62"/>
    <w:rsid w:val="00FE6746"/>
    <w:rsid w:val="00FE6AD0"/>
    <w:rsid w:val="00FE7B3E"/>
    <w:rsid w:val="00FE7DFB"/>
    <w:rsid w:val="00FF07DC"/>
    <w:rsid w:val="00FF2096"/>
    <w:rsid w:val="00FF2CBF"/>
    <w:rsid w:val="00FF3492"/>
    <w:rsid w:val="00FF3914"/>
    <w:rsid w:val="00FF3FE9"/>
    <w:rsid w:val="00FF40DE"/>
    <w:rsid w:val="00FF49EA"/>
    <w:rsid w:val="00FF4C54"/>
    <w:rsid w:val="00FF5088"/>
    <w:rsid w:val="00FF56EB"/>
    <w:rsid w:val="00FF75BE"/>
    <w:rsid w:val="00FF7694"/>
    <w:rsid w:val="020F4C89"/>
    <w:rsid w:val="02DC1BD3"/>
    <w:rsid w:val="02F41AAC"/>
    <w:rsid w:val="03213190"/>
    <w:rsid w:val="04007471"/>
    <w:rsid w:val="045D6A08"/>
    <w:rsid w:val="04702B56"/>
    <w:rsid w:val="04F7650F"/>
    <w:rsid w:val="064E336B"/>
    <w:rsid w:val="06D15CC4"/>
    <w:rsid w:val="07B11546"/>
    <w:rsid w:val="07DE6503"/>
    <w:rsid w:val="07F5375B"/>
    <w:rsid w:val="087D1844"/>
    <w:rsid w:val="08DD49C4"/>
    <w:rsid w:val="09815DE5"/>
    <w:rsid w:val="09EC2B3F"/>
    <w:rsid w:val="0A0256A7"/>
    <w:rsid w:val="0A0F4C55"/>
    <w:rsid w:val="0A536B03"/>
    <w:rsid w:val="0A6D18E6"/>
    <w:rsid w:val="0A8066AC"/>
    <w:rsid w:val="0AD465EA"/>
    <w:rsid w:val="0AEB4222"/>
    <w:rsid w:val="0B024724"/>
    <w:rsid w:val="0B0559CB"/>
    <w:rsid w:val="0BB216EF"/>
    <w:rsid w:val="0BE635F3"/>
    <w:rsid w:val="0CEB41F5"/>
    <w:rsid w:val="0DE51137"/>
    <w:rsid w:val="0E360AC6"/>
    <w:rsid w:val="0E8E2C22"/>
    <w:rsid w:val="0E9A0DD3"/>
    <w:rsid w:val="0F696448"/>
    <w:rsid w:val="0FB05B32"/>
    <w:rsid w:val="104A4BA3"/>
    <w:rsid w:val="113A77FE"/>
    <w:rsid w:val="116422B6"/>
    <w:rsid w:val="11BC387F"/>
    <w:rsid w:val="12FA64A2"/>
    <w:rsid w:val="136C6BDF"/>
    <w:rsid w:val="14BC34EF"/>
    <w:rsid w:val="14BE790E"/>
    <w:rsid w:val="15096A58"/>
    <w:rsid w:val="15237771"/>
    <w:rsid w:val="159D664C"/>
    <w:rsid w:val="15E014D2"/>
    <w:rsid w:val="164564AC"/>
    <w:rsid w:val="16676DCE"/>
    <w:rsid w:val="16D74CB7"/>
    <w:rsid w:val="174015F8"/>
    <w:rsid w:val="1783099B"/>
    <w:rsid w:val="17CA3EB4"/>
    <w:rsid w:val="18631C5C"/>
    <w:rsid w:val="19797128"/>
    <w:rsid w:val="199104D7"/>
    <w:rsid w:val="1A9912C5"/>
    <w:rsid w:val="1AC82188"/>
    <w:rsid w:val="1AD75285"/>
    <w:rsid w:val="1B5A7541"/>
    <w:rsid w:val="1BCA6B98"/>
    <w:rsid w:val="1BE53E71"/>
    <w:rsid w:val="1C79138F"/>
    <w:rsid w:val="1C943C06"/>
    <w:rsid w:val="1C9D50FF"/>
    <w:rsid w:val="1C9D605B"/>
    <w:rsid w:val="1CA95C66"/>
    <w:rsid w:val="1D03687E"/>
    <w:rsid w:val="1DB83859"/>
    <w:rsid w:val="1DC87C0B"/>
    <w:rsid w:val="1E0255DB"/>
    <w:rsid w:val="1E5A20DA"/>
    <w:rsid w:val="1EB853CE"/>
    <w:rsid w:val="1EEE22A1"/>
    <w:rsid w:val="1F1F4E18"/>
    <w:rsid w:val="206960DB"/>
    <w:rsid w:val="21226961"/>
    <w:rsid w:val="21374828"/>
    <w:rsid w:val="213E2F16"/>
    <w:rsid w:val="21FB2479"/>
    <w:rsid w:val="227930C6"/>
    <w:rsid w:val="2335523F"/>
    <w:rsid w:val="24E364CB"/>
    <w:rsid w:val="25951FC5"/>
    <w:rsid w:val="25C7061D"/>
    <w:rsid w:val="25DC332F"/>
    <w:rsid w:val="271D7621"/>
    <w:rsid w:val="27353192"/>
    <w:rsid w:val="27BD535B"/>
    <w:rsid w:val="27DC0949"/>
    <w:rsid w:val="27ED736F"/>
    <w:rsid w:val="2883356C"/>
    <w:rsid w:val="2969542F"/>
    <w:rsid w:val="2A0E711E"/>
    <w:rsid w:val="2A8B5A6C"/>
    <w:rsid w:val="2B6A25D9"/>
    <w:rsid w:val="2BF64E1C"/>
    <w:rsid w:val="2C843DC5"/>
    <w:rsid w:val="2C954FA0"/>
    <w:rsid w:val="2CE917F8"/>
    <w:rsid w:val="2D25473C"/>
    <w:rsid w:val="2D3633A3"/>
    <w:rsid w:val="2D971399"/>
    <w:rsid w:val="2E3A7BAD"/>
    <w:rsid w:val="2F203C32"/>
    <w:rsid w:val="2F4128BD"/>
    <w:rsid w:val="2F4B2421"/>
    <w:rsid w:val="2FBE65BC"/>
    <w:rsid w:val="2FF67B04"/>
    <w:rsid w:val="30354AD0"/>
    <w:rsid w:val="3048567A"/>
    <w:rsid w:val="30555872"/>
    <w:rsid w:val="315E1E05"/>
    <w:rsid w:val="31AD390C"/>
    <w:rsid w:val="32D85702"/>
    <w:rsid w:val="32E95384"/>
    <w:rsid w:val="32EF6DBC"/>
    <w:rsid w:val="33D463AE"/>
    <w:rsid w:val="34565172"/>
    <w:rsid w:val="34CB42EC"/>
    <w:rsid w:val="34D61CC5"/>
    <w:rsid w:val="35924E93"/>
    <w:rsid w:val="35FC6E15"/>
    <w:rsid w:val="3674665B"/>
    <w:rsid w:val="36834A91"/>
    <w:rsid w:val="36BA00E3"/>
    <w:rsid w:val="36E43B49"/>
    <w:rsid w:val="387465D0"/>
    <w:rsid w:val="38DF5FF4"/>
    <w:rsid w:val="39777F08"/>
    <w:rsid w:val="39816E7A"/>
    <w:rsid w:val="39893797"/>
    <w:rsid w:val="3AD65D94"/>
    <w:rsid w:val="3AF364B7"/>
    <w:rsid w:val="3B350E3B"/>
    <w:rsid w:val="3BA3504B"/>
    <w:rsid w:val="3BAA0353"/>
    <w:rsid w:val="3C491711"/>
    <w:rsid w:val="3CAF38D1"/>
    <w:rsid w:val="3DB3664C"/>
    <w:rsid w:val="3E554BA8"/>
    <w:rsid w:val="3EF14DE7"/>
    <w:rsid w:val="3F406094"/>
    <w:rsid w:val="3F487D4A"/>
    <w:rsid w:val="40550877"/>
    <w:rsid w:val="40CF23D7"/>
    <w:rsid w:val="41097C06"/>
    <w:rsid w:val="41240E74"/>
    <w:rsid w:val="41EC7E98"/>
    <w:rsid w:val="43BD06A4"/>
    <w:rsid w:val="43DB7B84"/>
    <w:rsid w:val="43F42155"/>
    <w:rsid w:val="4459123A"/>
    <w:rsid w:val="44BC1C6C"/>
    <w:rsid w:val="45A1630C"/>
    <w:rsid w:val="45C21B25"/>
    <w:rsid w:val="465B4768"/>
    <w:rsid w:val="465C1F40"/>
    <w:rsid w:val="46E7518E"/>
    <w:rsid w:val="473C453F"/>
    <w:rsid w:val="47855250"/>
    <w:rsid w:val="47D73C56"/>
    <w:rsid w:val="47D86488"/>
    <w:rsid w:val="47E50732"/>
    <w:rsid w:val="485469AD"/>
    <w:rsid w:val="489856AB"/>
    <w:rsid w:val="48E0417C"/>
    <w:rsid w:val="49092B40"/>
    <w:rsid w:val="493A114F"/>
    <w:rsid w:val="494E5DA2"/>
    <w:rsid w:val="49905AB8"/>
    <w:rsid w:val="49EB0709"/>
    <w:rsid w:val="4A11580F"/>
    <w:rsid w:val="4A2536C6"/>
    <w:rsid w:val="4A287733"/>
    <w:rsid w:val="4A370FED"/>
    <w:rsid w:val="4A3B170A"/>
    <w:rsid w:val="4A47572F"/>
    <w:rsid w:val="4B206E26"/>
    <w:rsid w:val="4C192C29"/>
    <w:rsid w:val="4C624F4C"/>
    <w:rsid w:val="4C733CFF"/>
    <w:rsid w:val="4F165421"/>
    <w:rsid w:val="4F4744B2"/>
    <w:rsid w:val="4FA26F89"/>
    <w:rsid w:val="4FB026B0"/>
    <w:rsid w:val="50D64927"/>
    <w:rsid w:val="51120E48"/>
    <w:rsid w:val="512B344F"/>
    <w:rsid w:val="52250B92"/>
    <w:rsid w:val="52493708"/>
    <w:rsid w:val="52513869"/>
    <w:rsid w:val="526D5D71"/>
    <w:rsid w:val="52777356"/>
    <w:rsid w:val="52C91FF6"/>
    <w:rsid w:val="535F3F93"/>
    <w:rsid w:val="539D0C1C"/>
    <w:rsid w:val="53B611D5"/>
    <w:rsid w:val="53E122B1"/>
    <w:rsid w:val="54B14BA5"/>
    <w:rsid w:val="55E73FF9"/>
    <w:rsid w:val="56186177"/>
    <w:rsid w:val="56454AB6"/>
    <w:rsid w:val="565E3B7E"/>
    <w:rsid w:val="567F7FA4"/>
    <w:rsid w:val="56F5273C"/>
    <w:rsid w:val="574A226E"/>
    <w:rsid w:val="58492617"/>
    <w:rsid w:val="58B2640F"/>
    <w:rsid w:val="592B0E97"/>
    <w:rsid w:val="59352B2F"/>
    <w:rsid w:val="59F36CDF"/>
    <w:rsid w:val="5A132EDD"/>
    <w:rsid w:val="5A566D5D"/>
    <w:rsid w:val="5B47755D"/>
    <w:rsid w:val="5B797A65"/>
    <w:rsid w:val="5B9A597A"/>
    <w:rsid w:val="5BC50A20"/>
    <w:rsid w:val="5BD4211C"/>
    <w:rsid w:val="5C4133C3"/>
    <w:rsid w:val="5C6A0DAE"/>
    <w:rsid w:val="5C991FE3"/>
    <w:rsid w:val="5CCA55A0"/>
    <w:rsid w:val="5DB93D9B"/>
    <w:rsid w:val="5DDC3F2E"/>
    <w:rsid w:val="5E2613E6"/>
    <w:rsid w:val="5F3E0C78"/>
    <w:rsid w:val="603B41E2"/>
    <w:rsid w:val="60795A64"/>
    <w:rsid w:val="61233015"/>
    <w:rsid w:val="62A45E52"/>
    <w:rsid w:val="62EE1ED0"/>
    <w:rsid w:val="63057A83"/>
    <w:rsid w:val="63A00A67"/>
    <w:rsid w:val="643E149E"/>
    <w:rsid w:val="64512668"/>
    <w:rsid w:val="649E3CEB"/>
    <w:rsid w:val="64BE613B"/>
    <w:rsid w:val="650B19D7"/>
    <w:rsid w:val="6569062F"/>
    <w:rsid w:val="65826DB1"/>
    <w:rsid w:val="66134265"/>
    <w:rsid w:val="66304E17"/>
    <w:rsid w:val="6888718C"/>
    <w:rsid w:val="68CC4C1D"/>
    <w:rsid w:val="695553A1"/>
    <w:rsid w:val="69787200"/>
    <w:rsid w:val="6A8740EC"/>
    <w:rsid w:val="6B511E15"/>
    <w:rsid w:val="6BF46176"/>
    <w:rsid w:val="6CD72AE7"/>
    <w:rsid w:val="6D611D5A"/>
    <w:rsid w:val="6F765F90"/>
    <w:rsid w:val="6FA60675"/>
    <w:rsid w:val="6FB95A32"/>
    <w:rsid w:val="6FCA1AFE"/>
    <w:rsid w:val="6FF675F6"/>
    <w:rsid w:val="70AD3C34"/>
    <w:rsid w:val="70DE40AA"/>
    <w:rsid w:val="71A6168E"/>
    <w:rsid w:val="71DB657E"/>
    <w:rsid w:val="737633CD"/>
    <w:rsid w:val="73DE5455"/>
    <w:rsid w:val="74021109"/>
    <w:rsid w:val="748B7E99"/>
    <w:rsid w:val="75760183"/>
    <w:rsid w:val="759D2027"/>
    <w:rsid w:val="75AE4C42"/>
    <w:rsid w:val="76B42745"/>
    <w:rsid w:val="76C939BC"/>
    <w:rsid w:val="777F348A"/>
    <w:rsid w:val="77A25449"/>
    <w:rsid w:val="77B274B0"/>
    <w:rsid w:val="781F72E5"/>
    <w:rsid w:val="782B3690"/>
    <w:rsid w:val="79B31B8F"/>
    <w:rsid w:val="79C4131D"/>
    <w:rsid w:val="79E65E9F"/>
    <w:rsid w:val="7A055842"/>
    <w:rsid w:val="7B5F0A79"/>
    <w:rsid w:val="7BF5757E"/>
    <w:rsid w:val="7BFC4543"/>
    <w:rsid w:val="7C06244A"/>
    <w:rsid w:val="7C292065"/>
    <w:rsid w:val="7D0E5A5A"/>
    <w:rsid w:val="7D726AE9"/>
    <w:rsid w:val="7DD92169"/>
    <w:rsid w:val="7DDB3556"/>
    <w:rsid w:val="7E174E80"/>
    <w:rsid w:val="7E64258B"/>
    <w:rsid w:val="7E6B5557"/>
    <w:rsid w:val="7E8F1DC8"/>
    <w:rsid w:val="7EB41633"/>
    <w:rsid w:val="7EC5039A"/>
    <w:rsid w:val="7F6A0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color w:val="000000"/>
      <w:kern w:val="2"/>
      <w:sz w:val="28"/>
      <w:szCs w:val="21"/>
      <w:lang w:val="en-US" w:eastAsia="zh-CN" w:bidi="ar-SA"/>
    </w:rPr>
  </w:style>
  <w:style w:type="paragraph" w:styleId="2">
    <w:name w:val="heading 1"/>
    <w:basedOn w:val="1"/>
    <w:next w:val="1"/>
    <w:link w:val="38"/>
    <w:qFormat/>
    <w:uiPriority w:val="9"/>
    <w:pPr>
      <w:keepNext/>
      <w:keepLines/>
      <w:numPr>
        <w:ilvl w:val="0"/>
        <w:numId w:val="1"/>
      </w:numPr>
      <w:spacing w:before="0" w:after="0"/>
      <w:ind w:left="0" w:firstLine="0" w:firstLineChars="0"/>
      <w:jc w:val="center"/>
      <w:outlineLvl w:val="0"/>
    </w:pPr>
    <w:rPr>
      <w:rFonts w:ascii="Times New Roman" w:hAnsi="Times New Roman" w:eastAsia="黑体"/>
      <w:b/>
      <w:bCs/>
      <w:kern w:val="44"/>
      <w:sz w:val="36"/>
      <w:szCs w:val="44"/>
    </w:rPr>
  </w:style>
  <w:style w:type="paragraph" w:styleId="3">
    <w:name w:val="heading 2"/>
    <w:basedOn w:val="1"/>
    <w:next w:val="1"/>
    <w:link w:val="39"/>
    <w:unhideWhenUsed/>
    <w:qFormat/>
    <w:uiPriority w:val="9"/>
    <w:pPr>
      <w:keepNext/>
      <w:keepLines/>
      <w:spacing w:before="0" w:after="0"/>
      <w:ind w:firstLine="0" w:firstLineChars="0"/>
      <w:outlineLvl w:val="1"/>
    </w:pPr>
    <w:rPr>
      <w:rFonts w:ascii="Times New Roman" w:hAnsi="Times New Roman" w:eastAsia="黑体" w:cstheme="majorBidi"/>
      <w:b/>
      <w:bCs/>
      <w:sz w:val="32"/>
      <w:szCs w:val="32"/>
    </w:rPr>
  </w:style>
  <w:style w:type="paragraph" w:styleId="4">
    <w:name w:val="heading 3"/>
    <w:basedOn w:val="1"/>
    <w:next w:val="1"/>
    <w:link w:val="40"/>
    <w:unhideWhenUsed/>
    <w:qFormat/>
    <w:uiPriority w:val="9"/>
    <w:pPr>
      <w:keepNext/>
      <w:keepLines/>
      <w:ind w:firstLine="0" w:firstLineChars="0"/>
      <w:outlineLvl w:val="2"/>
    </w:pPr>
    <w:rPr>
      <w:b/>
      <w:bCs/>
      <w:sz w:val="30"/>
      <w:szCs w:val="32"/>
    </w:rPr>
  </w:style>
  <w:style w:type="paragraph" w:styleId="5">
    <w:name w:val="heading 4"/>
    <w:basedOn w:val="1"/>
    <w:next w:val="1"/>
    <w:link w:val="41"/>
    <w:unhideWhenUsed/>
    <w:qFormat/>
    <w:uiPriority w:val="9"/>
    <w:pPr>
      <w:keepNext/>
      <w:keepLines/>
      <w:outlineLvl w:val="3"/>
    </w:pPr>
    <w:rPr>
      <w:rFonts w:eastAsiaTheme="majorEastAsia" w:cstheme="majorBidi"/>
      <w:bCs/>
      <w:szCs w:val="28"/>
    </w:rPr>
  </w:style>
  <w:style w:type="paragraph" w:styleId="6">
    <w:name w:val="heading 5"/>
    <w:basedOn w:val="1"/>
    <w:next w:val="1"/>
    <w:link w:val="42"/>
    <w:unhideWhenUsed/>
    <w:qFormat/>
    <w:uiPriority w:val="9"/>
    <w:pPr>
      <w:keepNext/>
      <w:keepLines/>
      <w:outlineLvl w:val="4"/>
    </w:pPr>
    <w:rPr>
      <w:bCs/>
      <w:szCs w:val="28"/>
    </w:rPr>
  </w:style>
  <w:style w:type="paragraph" w:styleId="7">
    <w:name w:val="heading 6"/>
    <w:basedOn w:val="1"/>
    <w:next w:val="1"/>
    <w:link w:val="43"/>
    <w:unhideWhenUsed/>
    <w:qFormat/>
    <w:uiPriority w:val="9"/>
    <w:pPr>
      <w:keepNext/>
      <w:keepLines/>
      <w:outlineLvl w:val="5"/>
    </w:pPr>
    <w:rPr>
      <w:rFonts w:eastAsiaTheme="majorEastAsia" w:cstheme="majorBidi"/>
      <w:bCs/>
      <w:szCs w:val="24"/>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8">
    <w:name w:val="Normal Indent"/>
    <w:basedOn w:val="1"/>
    <w:link w:val="65"/>
    <w:qFormat/>
    <w:uiPriority w:val="0"/>
    <w:pPr>
      <w:adjustRightInd w:val="0"/>
      <w:snapToGrid w:val="0"/>
      <w:jc w:val="left"/>
    </w:pPr>
    <w:rPr>
      <w:rFonts w:eastAsia="仿宋_GB2312"/>
      <w:color w:val="auto"/>
      <w:kern w:val="0"/>
      <w:szCs w:val="28"/>
    </w:rPr>
  </w:style>
  <w:style w:type="paragraph" w:styleId="9">
    <w:name w:val="caption"/>
    <w:basedOn w:val="1"/>
    <w:next w:val="1"/>
    <w:unhideWhenUsed/>
    <w:qFormat/>
    <w:uiPriority w:val="35"/>
    <w:pPr>
      <w:ind w:firstLine="0" w:firstLineChars="0"/>
      <w:jc w:val="center"/>
    </w:pPr>
    <w:rPr>
      <w:rFonts w:eastAsia="黑体" w:cstheme="majorBidi"/>
      <w:sz w:val="24"/>
      <w:szCs w:val="20"/>
    </w:rPr>
  </w:style>
  <w:style w:type="paragraph" w:styleId="10">
    <w:name w:val="annotation text"/>
    <w:basedOn w:val="1"/>
    <w:link w:val="44"/>
    <w:unhideWhenUsed/>
    <w:qFormat/>
    <w:uiPriority w:val="99"/>
    <w:pPr>
      <w:adjustRightInd w:val="0"/>
      <w:spacing w:line="490" w:lineRule="exact"/>
      <w:ind w:firstLine="482" w:firstLineChars="0"/>
      <w:jc w:val="left"/>
      <w:textAlignment w:val="baseline"/>
    </w:pPr>
    <w:rPr>
      <w:rFonts w:eastAsia="仿宋_GB2312"/>
      <w:color w:val="auto"/>
      <w:kern w:val="0"/>
      <w:sz w:val="24"/>
      <w:szCs w:val="20"/>
    </w:rPr>
  </w:style>
  <w:style w:type="paragraph" w:styleId="11">
    <w:name w:val="Body Text"/>
    <w:basedOn w:val="1"/>
    <w:link w:val="45"/>
    <w:semiHidden/>
    <w:unhideWhenUsed/>
    <w:qFormat/>
    <w:uiPriority w:val="99"/>
    <w:pPr>
      <w:spacing w:after="120"/>
    </w:pPr>
  </w:style>
  <w:style w:type="paragraph" w:styleId="12">
    <w:name w:val="Body Text Indent"/>
    <w:basedOn w:val="1"/>
    <w:qFormat/>
    <w:uiPriority w:val="99"/>
    <w:pPr>
      <w:spacing w:after="120"/>
      <w:ind w:left="420" w:leftChars="200"/>
    </w:pPr>
  </w:style>
  <w:style w:type="paragraph" w:styleId="13">
    <w:name w:val="List 2"/>
    <w:basedOn w:val="1"/>
    <w:qFormat/>
    <w:uiPriority w:val="0"/>
    <w:pPr>
      <w:widowControl/>
      <w:adjustRightInd w:val="0"/>
      <w:ind w:firstLine="0" w:firstLineChars="0"/>
      <w:jc w:val="center"/>
      <w:textAlignment w:val="baseline"/>
    </w:pPr>
    <w:rPr>
      <w:rFonts w:ascii="宋体" w:hAnsi="宋体"/>
      <w:kern w:val="0"/>
      <w:sz w:val="21"/>
      <w:szCs w:val="20"/>
    </w:rPr>
  </w:style>
  <w:style w:type="paragraph" w:styleId="14">
    <w:name w:val="toc 3"/>
    <w:basedOn w:val="1"/>
    <w:next w:val="1"/>
    <w:unhideWhenUsed/>
    <w:qFormat/>
    <w:uiPriority w:val="39"/>
    <w:pPr>
      <w:tabs>
        <w:tab w:val="right" w:leader="dot" w:pos="8296"/>
      </w:tabs>
      <w:ind w:left="560" w:leftChars="200" w:firstLine="480"/>
    </w:pPr>
  </w:style>
  <w:style w:type="paragraph" w:styleId="15">
    <w:name w:val="Plain Text"/>
    <w:basedOn w:val="1"/>
    <w:qFormat/>
    <w:uiPriority w:val="0"/>
    <w:rPr>
      <w:rFonts w:ascii="宋体" w:hAnsi="Courier New"/>
      <w:kern w:val="0"/>
      <w:szCs w:val="20"/>
    </w:rPr>
  </w:style>
  <w:style w:type="paragraph" w:styleId="16">
    <w:name w:val="Date"/>
    <w:basedOn w:val="1"/>
    <w:next w:val="1"/>
    <w:link w:val="46"/>
    <w:unhideWhenUsed/>
    <w:qFormat/>
    <w:uiPriority w:val="99"/>
    <w:pPr>
      <w:ind w:left="100" w:leftChars="2500"/>
    </w:pPr>
  </w:style>
  <w:style w:type="paragraph" w:styleId="17">
    <w:name w:val="Body Text Indent 2"/>
    <w:basedOn w:val="1"/>
    <w:link w:val="68"/>
    <w:unhideWhenUsed/>
    <w:qFormat/>
    <w:uiPriority w:val="99"/>
    <w:pPr>
      <w:spacing w:after="120" w:line="480" w:lineRule="auto"/>
      <w:ind w:left="420" w:leftChars="200"/>
    </w:pPr>
  </w:style>
  <w:style w:type="paragraph" w:styleId="18">
    <w:name w:val="Balloon Text"/>
    <w:basedOn w:val="1"/>
    <w:link w:val="47"/>
    <w:unhideWhenUsed/>
    <w:qFormat/>
    <w:uiPriority w:val="99"/>
    <w:pPr>
      <w:spacing w:line="240" w:lineRule="auto"/>
    </w:pPr>
    <w:rPr>
      <w:sz w:val="18"/>
      <w:szCs w:val="18"/>
    </w:rPr>
  </w:style>
  <w:style w:type="paragraph" w:styleId="19">
    <w:name w:val="footer"/>
    <w:basedOn w:val="1"/>
    <w:link w:val="48"/>
    <w:unhideWhenUsed/>
    <w:qFormat/>
    <w:uiPriority w:val="99"/>
    <w:pPr>
      <w:tabs>
        <w:tab w:val="center" w:pos="4153"/>
        <w:tab w:val="right" w:pos="8306"/>
      </w:tabs>
      <w:snapToGrid w:val="0"/>
      <w:spacing w:line="240" w:lineRule="auto"/>
      <w:jc w:val="left"/>
    </w:pPr>
    <w:rPr>
      <w:sz w:val="18"/>
      <w:szCs w:val="18"/>
    </w:rPr>
  </w:style>
  <w:style w:type="paragraph" w:styleId="20">
    <w:name w:val="header"/>
    <w:basedOn w:val="1"/>
    <w:link w:val="4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21">
    <w:name w:val="toc 1"/>
    <w:basedOn w:val="1"/>
    <w:next w:val="1"/>
    <w:unhideWhenUsed/>
    <w:qFormat/>
    <w:uiPriority w:val="39"/>
    <w:pPr>
      <w:tabs>
        <w:tab w:val="right" w:leader="dot" w:pos="8296"/>
      </w:tabs>
      <w:spacing w:afterLines="50" w:line="312" w:lineRule="auto"/>
      <w:ind w:firstLine="0" w:firstLineChars="0"/>
    </w:pPr>
    <w:rPr>
      <w:rFonts w:ascii="黑体" w:hAnsi="黑体" w:eastAsia="黑体"/>
      <w:b/>
      <w:szCs w:val="28"/>
    </w:rPr>
  </w:style>
  <w:style w:type="paragraph" w:styleId="22">
    <w:name w:val="footnote text"/>
    <w:basedOn w:val="1"/>
    <w:semiHidden/>
    <w:unhideWhenUsed/>
    <w:qFormat/>
    <w:uiPriority w:val="99"/>
    <w:pPr>
      <w:snapToGrid w:val="0"/>
      <w:jc w:val="left"/>
    </w:pPr>
    <w:rPr>
      <w:sz w:val="18"/>
    </w:rPr>
  </w:style>
  <w:style w:type="paragraph" w:styleId="23">
    <w:name w:val="toc 2"/>
    <w:basedOn w:val="1"/>
    <w:next w:val="1"/>
    <w:unhideWhenUsed/>
    <w:qFormat/>
    <w:uiPriority w:val="39"/>
    <w:pPr>
      <w:tabs>
        <w:tab w:val="right" w:leader="dot" w:pos="8296"/>
      </w:tabs>
      <w:ind w:firstLine="480"/>
    </w:pPr>
  </w:style>
  <w:style w:type="paragraph" w:styleId="2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5">
    <w:name w:val="annotation subject"/>
    <w:basedOn w:val="10"/>
    <w:next w:val="10"/>
    <w:link w:val="50"/>
    <w:unhideWhenUsed/>
    <w:qFormat/>
    <w:uiPriority w:val="99"/>
    <w:pPr>
      <w:adjustRightInd/>
      <w:spacing w:line="360" w:lineRule="auto"/>
      <w:ind w:firstLine="200" w:firstLineChars="200"/>
      <w:textAlignment w:val="auto"/>
    </w:pPr>
    <w:rPr>
      <w:rFonts w:eastAsia="宋体"/>
      <w:b/>
      <w:bCs/>
      <w:color w:val="000000"/>
      <w:kern w:val="2"/>
      <w:sz w:val="28"/>
      <w:szCs w:val="21"/>
    </w:rPr>
  </w:style>
  <w:style w:type="paragraph" w:styleId="26">
    <w:name w:val="Body Text First Indent"/>
    <w:basedOn w:val="1"/>
    <w:link w:val="51"/>
    <w:qFormat/>
    <w:uiPriority w:val="0"/>
    <w:pPr>
      <w:tabs>
        <w:tab w:val="left" w:pos="560"/>
        <w:tab w:val="left" w:pos="1117"/>
        <w:tab w:val="left" w:pos="3920"/>
        <w:tab w:val="left" w:pos="5600"/>
      </w:tabs>
      <w:spacing w:before="60" w:afterLines="50" w:line="520" w:lineRule="exact"/>
      <w:ind w:firstLine="560"/>
      <w:jc w:val="left"/>
      <w:textAlignment w:val="baseline"/>
    </w:pPr>
    <w:rPr>
      <w:rFonts w:ascii="Arial" w:hAnsi="Arial"/>
      <w:color w:val="auto"/>
      <w:kern w:val="0"/>
      <w:szCs w:val="24"/>
    </w:rPr>
  </w:style>
  <w:style w:type="paragraph" w:styleId="27">
    <w:name w:val="Body Text First Indent 2"/>
    <w:basedOn w:val="12"/>
    <w:next w:val="1"/>
    <w:unhideWhenUsed/>
    <w:qFormat/>
    <w:uiPriority w:val="99"/>
    <w:pPr>
      <w:spacing w:line="360" w:lineRule="auto"/>
      <w:ind w:left="0" w:leftChars="0" w:firstLine="420" w:firstLineChars="200"/>
      <w:jc w:val="both"/>
    </w:pPr>
    <w:rPr>
      <w:rFonts w:ascii="Times New Roman" w:hAnsi="Times New Roman" w:eastAsia="宋体"/>
    </w:rPr>
  </w:style>
  <w:style w:type="table" w:styleId="29">
    <w:name w:val="Table Grid"/>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FollowedHyperlink"/>
    <w:basedOn w:val="30"/>
    <w:semiHidden/>
    <w:unhideWhenUsed/>
    <w:qFormat/>
    <w:uiPriority w:val="99"/>
    <w:rPr>
      <w:color w:val="954F72" w:themeColor="followedHyperlink"/>
      <w:u w:val="single"/>
    </w:rPr>
  </w:style>
  <w:style w:type="character" w:styleId="32">
    <w:name w:val="Emphasis"/>
    <w:basedOn w:val="30"/>
    <w:qFormat/>
    <w:uiPriority w:val="0"/>
    <w:rPr>
      <w:i/>
      <w:iCs/>
    </w:rPr>
  </w:style>
  <w:style w:type="character" w:styleId="33">
    <w:name w:val="Hyperlink"/>
    <w:basedOn w:val="30"/>
    <w:unhideWhenUsed/>
    <w:qFormat/>
    <w:uiPriority w:val="99"/>
    <w:rPr>
      <w:color w:val="0563C1" w:themeColor="hyperlink"/>
      <w:u w:val="single"/>
    </w:rPr>
  </w:style>
  <w:style w:type="character" w:styleId="34">
    <w:name w:val="annotation reference"/>
    <w:qFormat/>
    <w:uiPriority w:val="99"/>
    <w:rPr>
      <w:sz w:val="21"/>
      <w:szCs w:val="21"/>
    </w:rPr>
  </w:style>
  <w:style w:type="character" w:styleId="35">
    <w:name w:val="footnote reference"/>
    <w:basedOn w:val="30"/>
    <w:semiHidden/>
    <w:unhideWhenUsed/>
    <w:qFormat/>
    <w:uiPriority w:val="99"/>
    <w:rPr>
      <w:vertAlign w:val="superscript"/>
    </w:rPr>
  </w:style>
  <w:style w:type="paragraph" w:customStyle="1" w:styleId="36">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37">
    <w:name w:val="四级标题"/>
    <w:basedOn w:val="16"/>
    <w:qFormat/>
    <w:uiPriority w:val="0"/>
  </w:style>
  <w:style w:type="character" w:customStyle="1" w:styleId="38">
    <w:name w:val="标题 1 字符"/>
    <w:basedOn w:val="30"/>
    <w:link w:val="2"/>
    <w:qFormat/>
    <w:uiPriority w:val="9"/>
    <w:rPr>
      <w:rFonts w:ascii="Times New Roman" w:hAnsi="Times New Roman" w:eastAsia="黑体"/>
      <w:b/>
      <w:bCs/>
      <w:color w:val="000000"/>
      <w:kern w:val="44"/>
      <w:sz w:val="36"/>
      <w:szCs w:val="44"/>
    </w:rPr>
  </w:style>
  <w:style w:type="character" w:customStyle="1" w:styleId="39">
    <w:name w:val="标题 2 字符"/>
    <w:basedOn w:val="30"/>
    <w:link w:val="3"/>
    <w:qFormat/>
    <w:uiPriority w:val="9"/>
    <w:rPr>
      <w:rFonts w:ascii="Times New Roman" w:hAnsi="Times New Roman" w:eastAsia="黑体" w:cstheme="majorBidi"/>
      <w:b/>
      <w:bCs/>
      <w:sz w:val="32"/>
      <w:szCs w:val="32"/>
    </w:rPr>
  </w:style>
  <w:style w:type="character" w:customStyle="1" w:styleId="40">
    <w:name w:val="标题 3 字符"/>
    <w:basedOn w:val="30"/>
    <w:link w:val="4"/>
    <w:qFormat/>
    <w:uiPriority w:val="9"/>
    <w:rPr>
      <w:rFonts w:ascii="Times New Roman" w:hAnsi="Times New Roman" w:eastAsia="宋体" w:cs="Times New Roman"/>
      <w:b/>
      <w:bCs/>
      <w:sz w:val="30"/>
      <w:szCs w:val="32"/>
    </w:rPr>
  </w:style>
  <w:style w:type="character" w:customStyle="1" w:styleId="41">
    <w:name w:val="标题 4 字符"/>
    <w:basedOn w:val="30"/>
    <w:link w:val="5"/>
    <w:qFormat/>
    <w:uiPriority w:val="9"/>
    <w:rPr>
      <w:rFonts w:eastAsiaTheme="majorEastAsia" w:cstheme="majorBidi"/>
      <w:bCs/>
      <w:color w:val="000000"/>
      <w:kern w:val="2"/>
      <w:sz w:val="28"/>
      <w:szCs w:val="28"/>
    </w:rPr>
  </w:style>
  <w:style w:type="character" w:customStyle="1" w:styleId="42">
    <w:name w:val="标题 5 字符"/>
    <w:basedOn w:val="30"/>
    <w:link w:val="6"/>
    <w:qFormat/>
    <w:uiPriority w:val="9"/>
    <w:rPr>
      <w:bCs/>
      <w:color w:val="000000"/>
      <w:kern w:val="2"/>
      <w:sz w:val="28"/>
      <w:szCs w:val="28"/>
    </w:rPr>
  </w:style>
  <w:style w:type="character" w:customStyle="1" w:styleId="43">
    <w:name w:val="标题 6 字符"/>
    <w:basedOn w:val="30"/>
    <w:link w:val="7"/>
    <w:qFormat/>
    <w:uiPriority w:val="9"/>
    <w:rPr>
      <w:rFonts w:eastAsiaTheme="majorEastAsia" w:cstheme="majorBidi"/>
      <w:bCs/>
      <w:color w:val="000000"/>
      <w:kern w:val="2"/>
      <w:sz w:val="28"/>
      <w:szCs w:val="24"/>
    </w:rPr>
  </w:style>
  <w:style w:type="character" w:customStyle="1" w:styleId="44">
    <w:name w:val="批注文字 字符"/>
    <w:link w:val="10"/>
    <w:qFormat/>
    <w:uiPriority w:val="99"/>
    <w:rPr>
      <w:rFonts w:eastAsia="仿宋_GB2312"/>
      <w:color w:val="auto"/>
      <w:kern w:val="0"/>
      <w:sz w:val="24"/>
      <w:szCs w:val="20"/>
    </w:rPr>
  </w:style>
  <w:style w:type="character" w:customStyle="1" w:styleId="45">
    <w:name w:val="正文文本 字符"/>
    <w:basedOn w:val="30"/>
    <w:link w:val="11"/>
    <w:semiHidden/>
    <w:qFormat/>
    <w:uiPriority w:val="99"/>
    <w:rPr>
      <w:color w:val="000000"/>
      <w:kern w:val="2"/>
      <w:sz w:val="28"/>
      <w:szCs w:val="21"/>
    </w:rPr>
  </w:style>
  <w:style w:type="character" w:customStyle="1" w:styleId="46">
    <w:name w:val="日期 字符"/>
    <w:basedOn w:val="30"/>
    <w:link w:val="16"/>
    <w:semiHidden/>
    <w:qFormat/>
    <w:uiPriority w:val="99"/>
    <w:rPr>
      <w:rFonts w:ascii="Times New Roman" w:hAnsi="Times New Roman" w:eastAsia="宋体" w:cs="Times New Roman"/>
      <w:sz w:val="28"/>
      <w:szCs w:val="24"/>
    </w:rPr>
  </w:style>
  <w:style w:type="character" w:customStyle="1" w:styleId="47">
    <w:name w:val="批注框文本 字符"/>
    <w:basedOn w:val="30"/>
    <w:link w:val="18"/>
    <w:semiHidden/>
    <w:qFormat/>
    <w:uiPriority w:val="99"/>
    <w:rPr>
      <w:rFonts w:ascii="Times New Roman" w:hAnsi="Times New Roman" w:eastAsia="宋体" w:cs="Times New Roman"/>
      <w:sz w:val="18"/>
      <w:szCs w:val="18"/>
    </w:rPr>
  </w:style>
  <w:style w:type="character" w:customStyle="1" w:styleId="48">
    <w:name w:val="页脚 字符"/>
    <w:basedOn w:val="30"/>
    <w:link w:val="19"/>
    <w:qFormat/>
    <w:uiPriority w:val="99"/>
    <w:rPr>
      <w:rFonts w:ascii="Times New Roman" w:hAnsi="Times New Roman" w:eastAsia="宋体" w:cs="Times New Roman"/>
      <w:sz w:val="18"/>
      <w:szCs w:val="18"/>
    </w:rPr>
  </w:style>
  <w:style w:type="character" w:customStyle="1" w:styleId="49">
    <w:name w:val="页眉 字符"/>
    <w:basedOn w:val="30"/>
    <w:link w:val="20"/>
    <w:qFormat/>
    <w:uiPriority w:val="99"/>
    <w:rPr>
      <w:rFonts w:ascii="Times New Roman" w:hAnsi="Times New Roman" w:eastAsia="宋体" w:cs="Times New Roman"/>
      <w:sz w:val="18"/>
      <w:szCs w:val="18"/>
    </w:rPr>
  </w:style>
  <w:style w:type="character" w:customStyle="1" w:styleId="50">
    <w:name w:val="批注主题 字符"/>
    <w:basedOn w:val="44"/>
    <w:link w:val="25"/>
    <w:semiHidden/>
    <w:qFormat/>
    <w:uiPriority w:val="99"/>
    <w:rPr>
      <w:rFonts w:eastAsia="仿宋_GB2312"/>
      <w:b/>
      <w:bCs/>
      <w:color w:val="auto"/>
      <w:kern w:val="0"/>
      <w:sz w:val="24"/>
      <w:szCs w:val="20"/>
    </w:rPr>
  </w:style>
  <w:style w:type="character" w:customStyle="1" w:styleId="51">
    <w:name w:val="正文首行缩进 字符"/>
    <w:basedOn w:val="30"/>
    <w:link w:val="26"/>
    <w:qFormat/>
    <w:uiPriority w:val="0"/>
    <w:rPr>
      <w:rFonts w:ascii="Arial" w:hAnsi="Arial"/>
      <w:sz w:val="28"/>
      <w:szCs w:val="24"/>
    </w:rPr>
  </w:style>
  <w:style w:type="paragraph" w:customStyle="1" w:styleId="52">
    <w:name w:val="列出段落1"/>
    <w:basedOn w:val="1"/>
    <w:qFormat/>
    <w:uiPriority w:val="0"/>
  </w:style>
  <w:style w:type="paragraph" w:customStyle="1" w:styleId="53">
    <w:name w:val="表头"/>
    <w:basedOn w:val="1"/>
    <w:qFormat/>
    <w:uiPriority w:val="0"/>
    <w:pPr>
      <w:spacing w:line="288" w:lineRule="auto"/>
      <w:ind w:firstLine="0" w:firstLineChars="0"/>
      <w:jc w:val="center"/>
    </w:pPr>
    <w:rPr>
      <w:rFonts w:eastAsia="黑体"/>
      <w:sz w:val="24"/>
      <w:szCs w:val="28"/>
    </w:rPr>
  </w:style>
  <w:style w:type="paragraph" w:customStyle="1" w:styleId="54">
    <w:name w:val="表格内容"/>
    <w:basedOn w:val="1"/>
    <w:qFormat/>
    <w:uiPriority w:val="0"/>
    <w:pPr>
      <w:adjustRightInd w:val="0"/>
      <w:snapToGrid w:val="0"/>
      <w:spacing w:line="440" w:lineRule="exact"/>
      <w:ind w:firstLine="0" w:firstLineChars="0"/>
      <w:jc w:val="center"/>
    </w:pPr>
    <w:rPr>
      <w:sz w:val="24"/>
    </w:rPr>
  </w:style>
  <w:style w:type="character" w:customStyle="1" w:styleId="55">
    <w:name w:val="占位符文本1"/>
    <w:basedOn w:val="30"/>
    <w:semiHidden/>
    <w:qFormat/>
    <w:uiPriority w:val="99"/>
    <w:rPr>
      <w:color w:val="808080"/>
    </w:rPr>
  </w:style>
  <w:style w:type="character" w:customStyle="1" w:styleId="56">
    <w:name w:val="批注文字 Char"/>
    <w:basedOn w:val="30"/>
    <w:qFormat/>
    <w:uiPriority w:val="99"/>
  </w:style>
  <w:style w:type="paragraph" w:customStyle="1" w:styleId="5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paragraph" w:styleId="58">
    <w:name w:val="List Paragraph"/>
    <w:basedOn w:val="1"/>
    <w:qFormat/>
    <w:uiPriority w:val="99"/>
    <w:pPr>
      <w:ind w:firstLine="420"/>
    </w:pPr>
  </w:style>
  <w:style w:type="character" w:customStyle="1" w:styleId="59">
    <w:name w:val="正文首行缩进 Char"/>
    <w:basedOn w:val="45"/>
    <w:semiHidden/>
    <w:qFormat/>
    <w:uiPriority w:val="99"/>
    <w:rPr>
      <w:color w:val="000000"/>
      <w:kern w:val="2"/>
      <w:sz w:val="28"/>
      <w:szCs w:val="21"/>
    </w:rPr>
  </w:style>
  <w:style w:type="paragraph" w:customStyle="1" w:styleId="60">
    <w:name w:val="Char"/>
    <w:basedOn w:val="1"/>
    <w:qFormat/>
    <w:uiPriority w:val="0"/>
    <w:pPr>
      <w:spacing w:line="240" w:lineRule="auto"/>
      <w:ind w:firstLine="0" w:firstLineChars="0"/>
    </w:pPr>
    <w:rPr>
      <w:color w:val="auto"/>
      <w:sz w:val="21"/>
      <w:szCs w:val="24"/>
    </w:rPr>
  </w:style>
  <w:style w:type="paragraph" w:customStyle="1" w:styleId="61">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62">
    <w:name w:val="apple-converted-space"/>
    <w:basedOn w:val="30"/>
    <w:qFormat/>
    <w:uiPriority w:val="0"/>
  </w:style>
  <w:style w:type="table" w:customStyle="1" w:styleId="63">
    <w:name w:val="网格型1"/>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2"/>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正文缩进 字符"/>
    <w:link w:val="8"/>
    <w:qFormat/>
    <w:uiPriority w:val="0"/>
    <w:rPr>
      <w:rFonts w:eastAsia="仿宋_GB2312"/>
      <w:sz w:val="28"/>
      <w:szCs w:val="28"/>
    </w:rPr>
  </w:style>
  <w:style w:type="paragraph" w:styleId="66">
    <w:name w:val="No Spacing"/>
    <w:basedOn w:val="11"/>
    <w:link w:val="67"/>
    <w:qFormat/>
    <w:uiPriority w:val="1"/>
    <w:pPr>
      <w:adjustRightInd w:val="0"/>
      <w:snapToGrid w:val="0"/>
      <w:spacing w:after="0" w:line="240" w:lineRule="auto"/>
      <w:ind w:firstLine="0" w:firstLineChars="0"/>
      <w:jc w:val="center"/>
    </w:pPr>
    <w:rPr>
      <w:rFonts w:ascii="仿宋_GB2312" w:hAnsi="Calibri" w:eastAsia="仿宋_GB2312"/>
      <w:color w:val="auto"/>
      <w:sz w:val="24"/>
      <w:szCs w:val="24"/>
    </w:rPr>
  </w:style>
  <w:style w:type="character" w:customStyle="1" w:styleId="67">
    <w:name w:val="无间隔 字符"/>
    <w:link w:val="66"/>
    <w:qFormat/>
    <w:uiPriority w:val="1"/>
    <w:rPr>
      <w:rFonts w:ascii="仿宋_GB2312" w:hAnsi="Calibri" w:eastAsia="仿宋_GB2312"/>
      <w:kern w:val="2"/>
      <w:sz w:val="24"/>
      <w:szCs w:val="24"/>
    </w:rPr>
  </w:style>
  <w:style w:type="character" w:customStyle="1" w:styleId="68">
    <w:name w:val="正文文本缩进 2 字符"/>
    <w:basedOn w:val="30"/>
    <w:link w:val="17"/>
    <w:qFormat/>
    <w:uiPriority w:val="99"/>
    <w:rPr>
      <w:color w:val="000000"/>
      <w:kern w:val="2"/>
      <w:sz w:val="28"/>
      <w:szCs w:val="21"/>
    </w:rPr>
  </w:style>
  <w:style w:type="paragraph" w:customStyle="1" w:styleId="69">
    <w:name w:val="_Style 3"/>
    <w:qFormat/>
    <w:uiPriority w:val="99"/>
    <w:pPr>
      <w:widowControl w:val="0"/>
      <w:jc w:val="both"/>
    </w:pPr>
    <w:rPr>
      <w:rFonts w:ascii="Calibri" w:hAnsi="Calibri" w:eastAsia="宋体" w:cs="Times New Roman"/>
      <w:kern w:val="2"/>
      <w:sz w:val="21"/>
      <w:szCs w:val="21"/>
      <w:lang w:val="en-US" w:eastAsia="zh-CN" w:bidi="ar-SA"/>
    </w:rPr>
  </w:style>
  <w:style w:type="paragraph" w:customStyle="1" w:styleId="70">
    <w:name w:val="msonormal"/>
    <w:basedOn w:val="1"/>
    <w:qFormat/>
    <w:uiPriority w:val="0"/>
    <w:pPr>
      <w:widowControl/>
      <w:spacing w:before="100" w:beforeAutospacing="1" w:after="100" w:afterAutospacing="1" w:line="240" w:lineRule="auto"/>
      <w:ind w:firstLine="0" w:firstLineChars="0"/>
      <w:jc w:val="left"/>
    </w:pPr>
    <w:rPr>
      <w:rFonts w:ascii="宋体" w:hAnsi="宋体" w:cs="宋体"/>
      <w:color w:val="auto"/>
      <w:kern w:val="0"/>
      <w:sz w:val="24"/>
      <w:szCs w:val="24"/>
    </w:rPr>
  </w:style>
  <w:style w:type="paragraph" w:customStyle="1" w:styleId="71">
    <w:name w:val="font5"/>
    <w:basedOn w:val="1"/>
    <w:qFormat/>
    <w:uiPriority w:val="0"/>
    <w:pPr>
      <w:widowControl/>
      <w:spacing w:before="100" w:beforeAutospacing="1" w:after="100" w:afterAutospacing="1" w:line="240" w:lineRule="auto"/>
      <w:ind w:firstLine="0" w:firstLineChars="0"/>
      <w:jc w:val="left"/>
    </w:pPr>
    <w:rPr>
      <w:rFonts w:ascii="宋体" w:hAnsi="宋体" w:cs="宋体"/>
      <w:color w:val="auto"/>
      <w:kern w:val="0"/>
      <w:sz w:val="18"/>
      <w:szCs w:val="18"/>
    </w:rPr>
  </w:style>
  <w:style w:type="paragraph" w:customStyle="1" w:styleId="72">
    <w:name w:val="xl65"/>
    <w:basedOn w:val="1"/>
    <w:qFormat/>
    <w:uiPriority w:val="0"/>
    <w:pPr>
      <w:widowControl/>
      <w:spacing w:before="100" w:beforeAutospacing="1" w:after="100" w:afterAutospacing="1" w:line="240" w:lineRule="auto"/>
      <w:ind w:firstLine="0" w:firstLineChars="0"/>
      <w:jc w:val="center"/>
    </w:pPr>
    <w:rPr>
      <w:rFonts w:ascii="宋体" w:hAnsi="宋体" w:cs="宋体"/>
      <w:color w:val="auto"/>
      <w:kern w:val="0"/>
      <w:sz w:val="24"/>
      <w:szCs w:val="24"/>
    </w:rPr>
  </w:style>
  <w:style w:type="paragraph" w:customStyle="1" w:styleId="73">
    <w:name w:val="xl66"/>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color w:val="auto"/>
      <w:kern w:val="0"/>
      <w:sz w:val="24"/>
      <w:szCs w:val="24"/>
    </w:rPr>
  </w:style>
  <w:style w:type="paragraph" w:customStyle="1" w:styleId="74">
    <w:name w:val="xl67"/>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color w:val="auto"/>
      <w:kern w:val="0"/>
      <w:sz w:val="24"/>
      <w:szCs w:val="24"/>
    </w:rPr>
  </w:style>
  <w:style w:type="paragraph" w:customStyle="1" w:styleId="75">
    <w:name w:val="xl68"/>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color w:val="FF0000"/>
      <w:kern w:val="0"/>
      <w:sz w:val="24"/>
      <w:szCs w:val="24"/>
    </w:rPr>
  </w:style>
  <w:style w:type="paragraph" w:customStyle="1" w:styleId="76">
    <w:name w:val="xl69"/>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auto"/>
      <w:kern w:val="0"/>
      <w:sz w:val="24"/>
      <w:szCs w:val="24"/>
    </w:rPr>
  </w:style>
  <w:style w:type="paragraph" w:customStyle="1" w:styleId="77">
    <w:name w:val="xl70"/>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color w:val="auto"/>
      <w:kern w:val="0"/>
      <w:sz w:val="24"/>
      <w:szCs w:val="24"/>
    </w:rPr>
  </w:style>
  <w:style w:type="paragraph" w:customStyle="1" w:styleId="78">
    <w:name w:val="xl71"/>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color w:val="auto"/>
      <w:kern w:val="0"/>
      <w:sz w:val="24"/>
      <w:szCs w:val="24"/>
    </w:rPr>
  </w:style>
  <w:style w:type="paragraph" w:customStyle="1" w:styleId="79">
    <w:name w:val="xl72"/>
    <w:basedOn w:val="1"/>
    <w:qFormat/>
    <w:uiPriority w:val="0"/>
    <w:pPr>
      <w:widowControl/>
      <w:spacing w:before="100" w:beforeAutospacing="1" w:after="100" w:afterAutospacing="1" w:line="240" w:lineRule="auto"/>
      <w:ind w:firstLine="0" w:firstLineChars="0"/>
      <w:jc w:val="center"/>
    </w:pPr>
    <w:rPr>
      <w:rFonts w:ascii="宋体" w:hAnsi="宋体" w:cs="宋体"/>
      <w:color w:val="auto"/>
      <w:kern w:val="0"/>
      <w:sz w:val="24"/>
      <w:szCs w:val="24"/>
    </w:rPr>
  </w:style>
  <w:style w:type="paragraph" w:customStyle="1" w:styleId="80">
    <w:name w:val="xl73"/>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auto"/>
      <w:kern w:val="0"/>
      <w:sz w:val="24"/>
      <w:szCs w:val="24"/>
    </w:rPr>
  </w:style>
  <w:style w:type="paragraph" w:customStyle="1" w:styleId="81">
    <w:name w:val="xl74"/>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color w:val="FF0000"/>
      <w:kern w:val="0"/>
      <w:sz w:val="24"/>
      <w:szCs w:val="24"/>
    </w:rPr>
  </w:style>
  <w:style w:type="paragraph" w:customStyle="1" w:styleId="82">
    <w:name w:val="xl75"/>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color w:val="auto"/>
      <w:kern w:val="0"/>
      <w:sz w:val="24"/>
      <w:szCs w:val="24"/>
    </w:rPr>
  </w:style>
  <w:style w:type="paragraph" w:customStyle="1" w:styleId="83">
    <w:name w:val="xl76"/>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auto"/>
      <w:kern w:val="0"/>
      <w:sz w:val="24"/>
      <w:szCs w:val="24"/>
    </w:rPr>
  </w:style>
  <w:style w:type="paragraph" w:customStyle="1" w:styleId="84">
    <w:name w:val="TOC Heading"/>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paragraph" w:customStyle="1" w:styleId="85">
    <w:name w:val="font6"/>
    <w:basedOn w:val="1"/>
    <w:qFormat/>
    <w:uiPriority w:val="0"/>
    <w:pPr>
      <w:widowControl/>
      <w:spacing w:before="100" w:beforeAutospacing="1" w:after="100" w:afterAutospacing="1" w:line="240" w:lineRule="auto"/>
      <w:ind w:firstLine="0" w:firstLineChars="0"/>
      <w:jc w:val="left"/>
    </w:pPr>
    <w:rPr>
      <w:rFonts w:ascii="宋体" w:hAnsi="宋体" w:cs="宋体"/>
      <w:color w:val="auto"/>
      <w:kern w:val="0"/>
      <w:sz w:val="18"/>
      <w:szCs w:val="18"/>
    </w:rPr>
  </w:style>
  <w:style w:type="paragraph" w:customStyle="1" w:styleId="86">
    <w:name w:val="font7"/>
    <w:basedOn w:val="1"/>
    <w:qFormat/>
    <w:uiPriority w:val="0"/>
    <w:pPr>
      <w:widowControl/>
      <w:spacing w:before="100" w:beforeAutospacing="1" w:after="100" w:afterAutospacing="1" w:line="240" w:lineRule="auto"/>
      <w:ind w:firstLine="0" w:firstLineChars="0"/>
      <w:jc w:val="left"/>
    </w:pPr>
    <w:rPr>
      <w:rFonts w:ascii="宋体" w:hAnsi="宋体" w:cs="宋体"/>
      <w:color w:val="auto"/>
      <w:kern w:val="0"/>
      <w:sz w:val="20"/>
      <w:szCs w:val="20"/>
    </w:rPr>
  </w:style>
  <w:style w:type="paragraph" w:customStyle="1" w:styleId="87">
    <w:name w:val="xl77"/>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auto"/>
      <w:kern w:val="0"/>
      <w:sz w:val="24"/>
      <w:szCs w:val="24"/>
    </w:rPr>
  </w:style>
  <w:style w:type="paragraph" w:customStyle="1" w:styleId="88">
    <w:name w:val="xl78"/>
    <w:basedOn w:val="1"/>
    <w:qFormat/>
    <w:uiPriority w:val="0"/>
    <w:pPr>
      <w:widowControl/>
      <w:spacing w:before="100" w:beforeAutospacing="1" w:after="100" w:afterAutospacing="1" w:line="240" w:lineRule="auto"/>
      <w:ind w:firstLine="0" w:firstLineChars="0"/>
      <w:jc w:val="center"/>
    </w:pPr>
    <w:rPr>
      <w:rFonts w:ascii="宋体" w:hAnsi="宋体" w:cs="宋体"/>
      <w:b/>
      <w:bCs/>
      <w:color w:val="auto"/>
      <w:kern w:val="0"/>
      <w:sz w:val="24"/>
      <w:szCs w:val="24"/>
    </w:rPr>
  </w:style>
  <w:style w:type="paragraph" w:customStyle="1" w:styleId="89">
    <w:name w:val="xl79"/>
    <w:basedOn w:val="1"/>
    <w:qFormat/>
    <w:uiPriority w:val="0"/>
    <w:pPr>
      <w:widowControl/>
      <w:spacing w:before="100" w:beforeAutospacing="1" w:after="100" w:afterAutospacing="1" w:line="240" w:lineRule="auto"/>
      <w:ind w:firstLine="0" w:firstLineChars="0"/>
      <w:jc w:val="left"/>
    </w:pPr>
    <w:rPr>
      <w:rFonts w:ascii="宋体" w:hAnsi="宋体" w:cs="宋体"/>
      <w:b/>
      <w:bCs/>
      <w:color w:val="auto"/>
      <w:kern w:val="0"/>
      <w:sz w:val="24"/>
      <w:szCs w:val="24"/>
    </w:rPr>
  </w:style>
  <w:style w:type="paragraph" w:customStyle="1" w:styleId="90">
    <w:name w:val="xl80"/>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FF0000"/>
      <w:kern w:val="0"/>
      <w:sz w:val="24"/>
      <w:szCs w:val="24"/>
    </w:rPr>
  </w:style>
  <w:style w:type="paragraph" w:customStyle="1" w:styleId="91">
    <w:name w:val="xl81"/>
    <w:basedOn w:val="1"/>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auto"/>
      <w:kern w:val="0"/>
      <w:sz w:val="24"/>
      <w:szCs w:val="24"/>
    </w:rPr>
  </w:style>
  <w:style w:type="table" w:customStyle="1" w:styleId="92">
    <w:name w:val="Table Normal"/>
    <w:semiHidden/>
    <w:unhideWhenUsed/>
    <w:qFormat/>
    <w:uiPriority w:val="0"/>
    <w:tblPr>
      <w:tblCellMar>
        <w:top w:w="0" w:type="dxa"/>
        <w:left w:w="0" w:type="dxa"/>
        <w:bottom w:w="0" w:type="dxa"/>
        <w:right w:w="0" w:type="dxa"/>
      </w:tblCellMar>
    </w:tblPr>
  </w:style>
  <w:style w:type="paragraph" w:customStyle="1" w:styleId="93">
    <w:name w:val="A正文"/>
    <w:qFormat/>
    <w:uiPriority w:val="0"/>
    <w:pPr>
      <w:widowControl w:val="0"/>
      <w:adjustRightInd w:val="0"/>
      <w:snapToGrid w:val="0"/>
      <w:spacing w:line="360" w:lineRule="auto"/>
      <w:ind w:firstLine="560" w:firstLineChars="200"/>
      <w:jc w:val="both"/>
    </w:pPr>
    <w:rPr>
      <w:rFonts w:ascii="Times New Roman" w:hAnsi="Times New Roman" w:eastAsia="仿宋_GB2312" w:cs="Times New Roman"/>
      <w:kern w:val="2"/>
      <w:sz w:val="28"/>
      <w:szCs w:val="28"/>
      <w:lang w:val="en-US" w:eastAsia="zh-CN" w:bidi="ar-SA"/>
    </w:rPr>
  </w:style>
  <w:style w:type="paragraph" w:customStyle="1" w:styleId="94">
    <w:name w:val="表格"/>
    <w:qFormat/>
    <w:uiPriority w:val="0"/>
    <w:pPr>
      <w:jc w:val="center"/>
      <w:outlineLvl w:val="8"/>
    </w:pPr>
    <w:rPr>
      <w:rFonts w:ascii="仿宋" w:hAnsi="仿宋" w:eastAsia="仿宋" w:cs="仿宋"/>
      <w:sz w:val="18"/>
      <w:szCs w:val="18"/>
      <w:lang w:val="en-US" w:eastAsia="zh-CN" w:bidi="ar-SA"/>
    </w:rPr>
  </w:style>
  <w:style w:type="paragraph" w:customStyle="1" w:styleId="95">
    <w:name w:val="Table Paragraph"/>
    <w:basedOn w:val="1"/>
    <w:qFormat/>
    <w:uiPriority w:val="1"/>
    <w:pPr>
      <w:jc w:val="center"/>
    </w:pPr>
    <w:rPr>
      <w:rFonts w:ascii="宋体" w:hAnsi="宋体" w:eastAsia="宋体" w:cs="宋体"/>
      <w:lang w:val="zh-CN" w:eastAsia="zh-CN" w:bidi="zh-CN"/>
    </w:rPr>
  </w:style>
  <w:style w:type="character" w:customStyle="1" w:styleId="96">
    <w:name w:val="font31"/>
    <w:basedOn w:val="30"/>
    <w:qFormat/>
    <w:uiPriority w:val="0"/>
    <w:rPr>
      <w:rFonts w:ascii="宋体" w:hAnsi="宋体" w:eastAsia="宋体" w:cs="宋体"/>
      <w:color w:val="000000"/>
      <w:sz w:val="24"/>
      <w:szCs w:val="24"/>
      <w:u w:val="none"/>
    </w:rPr>
  </w:style>
  <w:style w:type="character" w:customStyle="1" w:styleId="97">
    <w:name w:val="font71"/>
    <w:basedOn w:val="30"/>
    <w:qFormat/>
    <w:uiPriority w:val="0"/>
    <w:rPr>
      <w:rFonts w:hint="default" w:ascii="Times New Roman" w:hAnsi="Times New Roman" w:cs="Times New Roman"/>
      <w:color w:val="000000"/>
      <w:sz w:val="18"/>
      <w:szCs w:val="18"/>
      <w:u w:val="none"/>
    </w:rPr>
  </w:style>
  <w:style w:type="character" w:customStyle="1" w:styleId="98">
    <w:name w:val="font121"/>
    <w:qFormat/>
    <w:uiPriority w:val="0"/>
    <w:rPr>
      <w:rFonts w:hint="eastAsia" w:ascii="仿宋_GB2312" w:eastAsia="仿宋_GB2312" w:cs="仿宋_GB2312"/>
      <w:color w:val="000000"/>
      <w:sz w:val="20"/>
      <w:szCs w:val="20"/>
      <w:u w:val="none"/>
    </w:rPr>
  </w:style>
  <w:style w:type="paragraph" w:customStyle="1" w:styleId="99">
    <w:name w:val="居中 表格"/>
    <w:basedOn w:val="1"/>
    <w:next w:val="1"/>
    <w:qFormat/>
    <w:uiPriority w:val="0"/>
    <w:pPr>
      <w:spacing w:line="240" w:lineRule="auto"/>
      <w:ind w:firstLine="0" w:firstLineChars="0"/>
      <w:jc w:val="center"/>
    </w:pPr>
    <w:rPr>
      <w:rFonts w:eastAsiaTheme="minorEastAsia"/>
      <w:sz w:val="21"/>
      <w:lang w:bidi="zh-TW"/>
    </w:rPr>
  </w:style>
  <w:style w:type="character" w:customStyle="1" w:styleId="100">
    <w:name w:val="font61"/>
    <w:basedOn w:val="30"/>
    <w:qFormat/>
    <w:uiPriority w:val="0"/>
    <w:rPr>
      <w:rFonts w:hint="eastAsia" w:ascii="宋体" w:hAnsi="宋体" w:eastAsia="宋体"/>
      <w:color w:val="FF0000"/>
      <w:sz w:val="18"/>
      <w:szCs w:val="18"/>
      <w:u w:val="none"/>
    </w:rPr>
  </w:style>
  <w:style w:type="character" w:customStyle="1" w:styleId="101">
    <w:name w:val="font81"/>
    <w:basedOn w:val="30"/>
    <w:qFormat/>
    <w:uiPriority w:val="0"/>
    <w:rPr>
      <w:rFonts w:hint="eastAsia" w:ascii="宋体" w:hAnsi="宋体" w:eastAsia="宋体"/>
      <w:color w:val="000000"/>
      <w:sz w:val="18"/>
      <w:szCs w:val="18"/>
      <w:u w:val="none"/>
    </w:rPr>
  </w:style>
  <w:style w:type="character" w:customStyle="1" w:styleId="102">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9" Type="http://schemas.openxmlformats.org/officeDocument/2006/relationships/fontTable" Target="fontTable.xml"/><Relationship Id="rId68" Type="http://schemas.openxmlformats.org/officeDocument/2006/relationships/customXml" Target="../customXml/item2.xml"/><Relationship Id="rId67" Type="http://schemas.openxmlformats.org/officeDocument/2006/relationships/numbering" Target="numbering.xml"/><Relationship Id="rId66" Type="http://schemas.openxmlformats.org/officeDocument/2006/relationships/customXml" Target="../customXml/item1.xml"/><Relationship Id="rId65" Type="http://schemas.openxmlformats.org/officeDocument/2006/relationships/image" Target="media/image52.jpeg"/><Relationship Id="rId64" Type="http://schemas.openxmlformats.org/officeDocument/2006/relationships/image" Target="media/image51.jpeg"/><Relationship Id="rId63" Type="http://schemas.openxmlformats.org/officeDocument/2006/relationships/image" Target="media/image50.jpeg"/><Relationship Id="rId62" Type="http://schemas.openxmlformats.org/officeDocument/2006/relationships/image" Target="media/image49.jpeg"/><Relationship Id="rId61" Type="http://schemas.openxmlformats.org/officeDocument/2006/relationships/image" Target="media/image48.jpeg"/><Relationship Id="rId60" Type="http://schemas.openxmlformats.org/officeDocument/2006/relationships/image" Target="media/image47.jpeg"/><Relationship Id="rId6" Type="http://schemas.openxmlformats.org/officeDocument/2006/relationships/footer" Target="footer1.xml"/><Relationship Id="rId59" Type="http://schemas.openxmlformats.org/officeDocument/2006/relationships/image" Target="media/image46.jpeg"/><Relationship Id="rId58" Type="http://schemas.openxmlformats.org/officeDocument/2006/relationships/image" Target="media/image45.jpeg"/><Relationship Id="rId57" Type="http://schemas.openxmlformats.org/officeDocument/2006/relationships/image" Target="media/image44.jpeg"/><Relationship Id="rId56" Type="http://schemas.openxmlformats.org/officeDocument/2006/relationships/image" Target="media/image43.jpeg"/><Relationship Id="rId55" Type="http://schemas.openxmlformats.org/officeDocument/2006/relationships/image" Target="media/image42.jpeg"/><Relationship Id="rId54" Type="http://schemas.openxmlformats.org/officeDocument/2006/relationships/image" Target="media/image41.jpeg"/><Relationship Id="rId53" Type="http://schemas.openxmlformats.org/officeDocument/2006/relationships/image" Target="media/image40.jpeg"/><Relationship Id="rId52" Type="http://schemas.openxmlformats.org/officeDocument/2006/relationships/image" Target="media/image39.jpeg"/><Relationship Id="rId51" Type="http://schemas.openxmlformats.org/officeDocument/2006/relationships/image" Target="media/image38.png"/><Relationship Id="rId50" Type="http://schemas.openxmlformats.org/officeDocument/2006/relationships/image" Target="media/image37.png"/><Relationship Id="rId5" Type="http://schemas.openxmlformats.org/officeDocument/2006/relationships/header" Target="header3.xml"/><Relationship Id="rId49" Type="http://schemas.openxmlformats.org/officeDocument/2006/relationships/image" Target="media/image36.png"/><Relationship Id="rId48" Type="http://schemas.openxmlformats.org/officeDocument/2006/relationships/image" Target="media/image35.png"/><Relationship Id="rId47" Type="http://schemas.openxmlformats.org/officeDocument/2006/relationships/image" Target="media/image34.png"/><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png"/><Relationship Id="rId42" Type="http://schemas.openxmlformats.org/officeDocument/2006/relationships/image" Target="media/image29.png"/><Relationship Id="rId41" Type="http://schemas.openxmlformats.org/officeDocument/2006/relationships/image" Target="media/image28.png"/><Relationship Id="rId40" Type="http://schemas.openxmlformats.org/officeDocument/2006/relationships/image" Target="media/image27.png"/><Relationship Id="rId4" Type="http://schemas.openxmlformats.org/officeDocument/2006/relationships/header" Target="head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6575F7-DEC3-4262-8674-F17F27082014}">
  <ds:schemaRefs/>
</ds:datastoreItem>
</file>

<file path=docProps/app.xml><?xml version="1.0" encoding="utf-8"?>
<Properties xmlns="http://schemas.openxmlformats.org/officeDocument/2006/extended-properties" xmlns:vt="http://schemas.openxmlformats.org/officeDocument/2006/docPropsVTypes">
  <Template>Normal</Template>
  <Company>SinoSteel</Company>
  <Pages>153</Pages>
  <Words>47990</Words>
  <Characters>57903</Characters>
  <Lines>487</Lines>
  <Paragraphs>137</Paragraphs>
  <TotalTime>3</TotalTime>
  <ScaleCrop>false</ScaleCrop>
  <LinksUpToDate>false</LinksUpToDate>
  <CharactersWithSpaces>58766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2018-01-14T03:54:00Z</dcterms:created>
  <dc:creator>GIGABYTE</dc:creator>
  <cp:lastModifiedBy>Administrator</cp:lastModifiedBy>
  <cp:lastPrinted>2020-06-05T07:27:00Z</cp:lastPrinted>
  <dcterms:modified xsi:type="dcterms:W3CDTF">2026-09-23T01:10:59Z</dcterms:modified>
  <cp:revision>711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2052-11.1.0.10314</vt:lpwstr>
  </property>
  <property fmtid="{D5CDD505-2E9C-101B-9397-08002B2CF9AE}" pid="4" name="ICV">
    <vt:lpwstr>94398F470210431D86BD2F30C7BDCDE6_12</vt:lpwstr>
  </property>
</Properties>
</file>