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《咸宁高新区硕博人才“倍增工程”实施细则》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修订说明</w:t>
      </w:r>
    </w:p>
    <w:bookmarkEnd w:id="0"/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修订背景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6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日，咸宁高新区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印发了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咸宁高新区硕博人才“倍增工程”实施细则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（试行）》，试行时间为两年。在试行的过程中，发现申报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范围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相对较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窄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，不利于人才的引进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培养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。为了加大政策扶持力度，扩大人才覆盖面，需对政策进行完善。</w:t>
      </w:r>
    </w:p>
    <w:p>
      <w:pPr>
        <w:pStyle w:val="6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   二、重点修订内容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u w:val="none"/>
          <w:lang w:val="en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>1.进一步放宽资格条件，将“首次来园区企业就业的全日制博士研究生和硕士研究生”放宽至“首次来园区企业（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" w:eastAsia="zh-CN"/>
        </w:rPr>
        <w:t>含高投集团、高新产业发展有限公司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" w:eastAsia="zh-CN"/>
        </w:rPr>
        <w:t>或园区企业控股建设的人才飞地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>就业的全日制博士研究生和硕士研究生”，其中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u w:val="none"/>
          <w:lang w:val="en" w:eastAsia="zh-CN"/>
        </w:rPr>
        <w:t>高投集团、高新产业发展有限公司补贴资金纳入公司预算，自行发放。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u w:val="none"/>
          <w:lang w:val="en-US" w:eastAsia="zh-CN"/>
        </w:rPr>
        <w:t>2.在“高新区机关、事业单位通过招硕引博等人才招引计划并被录用的，可以享受个人补贴政策”中，除“招硕引博”人才外，新增“引才专列、员额招聘”人才。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" w:eastAsia="zh-CN" w:bidi="ar"/>
        </w:rPr>
        <w:t>三、修订依据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日，在咸宁高新区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印发的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《咸宁高新区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硕博人才“倍增工程”实施细则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（试行）》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基础上，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结合高新区实际和产业发展需要进行修订。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E63523"/>
    <w:multiLevelType w:val="singleLevel"/>
    <w:tmpl w:val="FFE635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179DE"/>
    <w:rsid w:val="3171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  <w:rPr>
      <w:rFonts w:ascii="Calibri" w:hAnsi="Calibri" w:eastAsia="宋体" w:cs="Times New Roman"/>
      <w:sz w:val="21"/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next w:val="5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qFormat/>
    <w:uiPriority w:val="99"/>
    <w:pPr>
      <w:jc w:val="center"/>
    </w:pPr>
    <w:rPr>
      <w:b/>
      <w:sz w:val="4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2025-11-12T03:07:00Z</dcterms:created>
  <dc:creator>Administrator</dc:creator>
  <cp:lastModifiedBy>Administrator</cp:lastModifiedBy>
  <dcterms:modified xsi:type="dcterms:W3CDTF">2025-11-12T03:07:44Z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